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EA1F" w14:textId="77777777" w:rsidR="00B83A1B" w:rsidRPr="00E15A3F" w:rsidRDefault="00B83A1B" w:rsidP="00756266">
      <w:pPr>
        <w:rPr>
          <w:rFonts w:ascii="Arial" w:hAnsi="Arial" w:cs="Arial"/>
          <w:b/>
          <w:bCs/>
        </w:rPr>
      </w:pPr>
      <w:r w:rsidRPr="00E15A3F">
        <w:rPr>
          <w:rFonts w:ascii="Arial" w:hAnsi="Arial" w:cs="Arial"/>
          <w:b/>
          <w:bCs/>
        </w:rPr>
        <w:t>Onyx Student Support Ltd</w:t>
      </w:r>
    </w:p>
    <w:p w14:paraId="5A564982" w14:textId="6350CC5D" w:rsidR="00756266" w:rsidRPr="00756266" w:rsidRDefault="00756266" w:rsidP="00756266">
      <w:pPr>
        <w:rPr>
          <w:rFonts w:ascii="Arial" w:hAnsi="Arial" w:cs="Arial"/>
          <w:b/>
          <w:bCs/>
        </w:rPr>
      </w:pPr>
      <w:r w:rsidRPr="00756266">
        <w:rPr>
          <w:rFonts w:ascii="Arial" w:hAnsi="Arial" w:cs="Arial"/>
          <w:b/>
          <w:bCs/>
        </w:rPr>
        <w:t>Student Privacy Notice</w:t>
      </w:r>
    </w:p>
    <w:p w14:paraId="3B4EF74A" w14:textId="4B6DAA7F" w:rsidR="00756266" w:rsidRPr="00756266" w:rsidRDefault="00756266" w:rsidP="00756266">
      <w:pPr>
        <w:rPr>
          <w:rFonts w:ascii="Arial" w:hAnsi="Arial" w:cs="Arial"/>
        </w:rPr>
      </w:pPr>
      <w:r w:rsidRPr="00756266">
        <w:rPr>
          <w:rFonts w:ascii="Arial" w:hAnsi="Arial" w:cs="Arial"/>
        </w:rPr>
        <w:br/>
      </w:r>
      <w:r w:rsidRPr="00756266">
        <w:rPr>
          <w:rFonts w:ascii="Arial" w:hAnsi="Arial" w:cs="Arial"/>
          <w:i/>
          <w:iCs/>
        </w:rPr>
        <w:t xml:space="preserve">Effective Date: </w:t>
      </w:r>
      <w:r w:rsidR="00B83A1B" w:rsidRPr="00E15A3F">
        <w:rPr>
          <w:rFonts w:ascii="Arial" w:hAnsi="Arial" w:cs="Arial"/>
          <w:i/>
          <w:iCs/>
        </w:rPr>
        <w:t>12</w:t>
      </w:r>
      <w:r w:rsidR="00B83A1B" w:rsidRPr="00E15A3F">
        <w:rPr>
          <w:rFonts w:ascii="Arial" w:hAnsi="Arial" w:cs="Arial"/>
          <w:i/>
          <w:iCs/>
          <w:vertAlign w:val="superscript"/>
        </w:rPr>
        <w:t>th</w:t>
      </w:r>
      <w:r w:rsidR="00B83A1B" w:rsidRPr="00E15A3F">
        <w:rPr>
          <w:rFonts w:ascii="Arial" w:hAnsi="Arial" w:cs="Arial"/>
          <w:i/>
          <w:iCs/>
        </w:rPr>
        <w:t xml:space="preserve"> November 2025</w:t>
      </w:r>
      <w:r w:rsidRPr="00756266">
        <w:rPr>
          <w:rFonts w:ascii="Arial" w:hAnsi="Arial" w:cs="Arial"/>
          <w:i/>
          <w:iCs/>
        </w:rPr>
        <w:t> </w:t>
      </w:r>
      <w:r w:rsidRPr="00756266">
        <w:rPr>
          <w:rFonts w:ascii="Arial" w:hAnsi="Arial" w:cs="Arial"/>
          <w:i/>
          <w:iCs/>
        </w:rPr>
        <w:t xml:space="preserve">Review Date: </w:t>
      </w:r>
      <w:r w:rsidR="00B83A1B" w:rsidRPr="00E15A3F">
        <w:rPr>
          <w:rFonts w:ascii="Arial" w:hAnsi="Arial" w:cs="Arial"/>
          <w:i/>
          <w:iCs/>
        </w:rPr>
        <w:t>12</w:t>
      </w:r>
      <w:r w:rsidR="00B83A1B" w:rsidRPr="00E15A3F">
        <w:rPr>
          <w:rFonts w:ascii="Arial" w:hAnsi="Arial" w:cs="Arial"/>
          <w:i/>
          <w:iCs/>
          <w:vertAlign w:val="superscript"/>
        </w:rPr>
        <w:t>th</w:t>
      </w:r>
      <w:r w:rsidR="00B83A1B" w:rsidRPr="00E15A3F">
        <w:rPr>
          <w:rFonts w:ascii="Arial" w:hAnsi="Arial" w:cs="Arial"/>
          <w:i/>
          <w:iCs/>
        </w:rPr>
        <w:t xml:space="preserve"> November 2026</w:t>
      </w:r>
    </w:p>
    <w:p w14:paraId="5F719D69" w14:textId="4932AE3E" w:rsidR="00756266" w:rsidRPr="00756266" w:rsidRDefault="00756266" w:rsidP="00756266">
      <w:pPr>
        <w:rPr>
          <w:rFonts w:ascii="Arial" w:hAnsi="Arial" w:cs="Arial"/>
        </w:rPr>
      </w:pPr>
    </w:p>
    <w:p w14:paraId="24B0A295" w14:textId="77777777" w:rsidR="00756266" w:rsidRPr="00756266" w:rsidRDefault="00756266" w:rsidP="00756266">
      <w:pPr>
        <w:rPr>
          <w:rFonts w:ascii="Arial" w:hAnsi="Arial" w:cs="Arial"/>
          <w:b/>
          <w:bCs/>
        </w:rPr>
      </w:pPr>
      <w:r w:rsidRPr="00756266">
        <w:rPr>
          <w:rFonts w:ascii="Arial" w:hAnsi="Arial" w:cs="Arial"/>
          <w:b/>
          <w:bCs/>
        </w:rPr>
        <w:t>1. Purpose</w:t>
      </w:r>
    </w:p>
    <w:p w14:paraId="2759F503" w14:textId="77777777" w:rsidR="00756266" w:rsidRPr="00756266" w:rsidRDefault="00756266" w:rsidP="00756266">
      <w:pPr>
        <w:rPr>
          <w:rFonts w:ascii="Arial" w:hAnsi="Arial" w:cs="Arial"/>
        </w:rPr>
      </w:pPr>
      <w:r w:rsidRPr="00756266">
        <w:rPr>
          <w:rFonts w:ascii="Arial" w:hAnsi="Arial" w:cs="Arial"/>
        </w:rPr>
        <w:t>This Privacy Notice explains how Onyx Student Support Ltd (“Onyx”) collects, uses, stores, and protects personal data about students who receive support services funded through the Disabled Students’ Allowance (DSA) or other higher education institution (HEI) programmes.</w:t>
      </w:r>
    </w:p>
    <w:p w14:paraId="4119477C" w14:textId="77777777" w:rsidR="00756266" w:rsidRPr="00756266" w:rsidRDefault="00756266" w:rsidP="00756266">
      <w:pPr>
        <w:rPr>
          <w:rFonts w:ascii="Arial" w:hAnsi="Arial" w:cs="Arial"/>
        </w:rPr>
      </w:pPr>
      <w:r w:rsidRPr="00756266">
        <w:rPr>
          <w:rFonts w:ascii="Arial" w:hAnsi="Arial" w:cs="Arial"/>
        </w:rPr>
        <w:t>Onyx is committed to safeguarding the privacy and confidentiality of all students and processes data in compliance with the UK General Data Protection Regulation (UK GDPR) and the Data Protection Act 2018.</w:t>
      </w:r>
    </w:p>
    <w:p w14:paraId="01D84042" w14:textId="38534DC6" w:rsidR="00756266" w:rsidRPr="00756266" w:rsidRDefault="00756266" w:rsidP="00756266">
      <w:pPr>
        <w:rPr>
          <w:rFonts w:ascii="Arial" w:hAnsi="Arial" w:cs="Arial"/>
        </w:rPr>
      </w:pPr>
    </w:p>
    <w:p w14:paraId="6025E024" w14:textId="77777777" w:rsidR="00756266" w:rsidRPr="00756266" w:rsidRDefault="00756266" w:rsidP="00756266">
      <w:pPr>
        <w:rPr>
          <w:rFonts w:ascii="Arial" w:hAnsi="Arial" w:cs="Arial"/>
          <w:b/>
          <w:bCs/>
        </w:rPr>
      </w:pPr>
      <w:r w:rsidRPr="00756266">
        <w:rPr>
          <w:rFonts w:ascii="Arial" w:hAnsi="Arial" w:cs="Arial"/>
          <w:b/>
          <w:bCs/>
        </w:rPr>
        <w:t>2. Data Controller</w:t>
      </w:r>
    </w:p>
    <w:p w14:paraId="2814BFD1" w14:textId="2664ABC2" w:rsidR="00756266" w:rsidRPr="00756266" w:rsidRDefault="00756266" w:rsidP="00756266">
      <w:pPr>
        <w:rPr>
          <w:rFonts w:ascii="Arial" w:hAnsi="Arial" w:cs="Arial"/>
        </w:rPr>
      </w:pPr>
      <w:r w:rsidRPr="00756266">
        <w:rPr>
          <w:rFonts w:ascii="Arial" w:hAnsi="Arial" w:cs="Arial"/>
          <w:b/>
          <w:bCs/>
        </w:rPr>
        <w:t>Onyx Student Support Ltd</w:t>
      </w:r>
      <w:r w:rsidRPr="00756266">
        <w:rPr>
          <w:rFonts w:ascii="Arial" w:hAnsi="Arial" w:cs="Arial"/>
        </w:rPr>
        <w:br/>
        <w:t>Registered Company No: 14244398</w:t>
      </w:r>
      <w:r w:rsidRPr="00756266">
        <w:rPr>
          <w:rFonts w:ascii="Arial" w:hAnsi="Arial" w:cs="Arial"/>
        </w:rPr>
        <w:br/>
      </w:r>
      <w:r w:rsidRPr="00756266">
        <w:rPr>
          <w:rFonts w:ascii="Arial" w:hAnsi="Arial" w:cs="Arial"/>
          <w:b/>
          <w:bCs/>
        </w:rPr>
        <w:t>Data Protection Officer (DPO):</w:t>
      </w:r>
      <w:r w:rsidRPr="00756266">
        <w:rPr>
          <w:rFonts w:ascii="Arial" w:hAnsi="Arial" w:cs="Arial"/>
        </w:rPr>
        <w:t xml:space="preserve"> Jane Pickering</w:t>
      </w:r>
      <w:r w:rsidRPr="00756266">
        <w:rPr>
          <w:rFonts w:ascii="Arial" w:hAnsi="Arial" w:cs="Arial"/>
        </w:rPr>
        <w:br/>
      </w:r>
      <w:r w:rsidR="00B83A1B" w:rsidRPr="00E15A3F">
        <w:rPr>
          <w:rFonts w:ascii="Arial" w:hAnsi="Arial" w:cs="Arial"/>
        </w:rPr>
        <w:t xml:space="preserve">Email: </w:t>
      </w:r>
      <w:hyperlink r:id="rId10" w:history="1">
        <w:r w:rsidR="00B83A1B" w:rsidRPr="00756266">
          <w:rPr>
            <w:rStyle w:val="Hyperlink"/>
            <w:rFonts w:ascii="Arial" w:hAnsi="Arial" w:cs="Arial"/>
          </w:rPr>
          <w:t>datagovernance@onyxstudents.co</w:t>
        </w:r>
        <w:r w:rsidR="00B83A1B" w:rsidRPr="00E15A3F">
          <w:rPr>
            <w:rStyle w:val="Hyperlink"/>
            <w:rFonts w:ascii="Arial" w:hAnsi="Arial" w:cs="Arial"/>
          </w:rPr>
          <w:t>m</w:t>
        </w:r>
      </w:hyperlink>
      <w:r w:rsidR="00B83A1B" w:rsidRPr="00E15A3F">
        <w:rPr>
          <w:rFonts w:ascii="Arial" w:hAnsi="Arial" w:cs="Arial"/>
        </w:rPr>
        <w:t xml:space="preserve"> Telephone: </w:t>
      </w:r>
      <w:r w:rsidR="00B83A1B" w:rsidRPr="00E15A3F">
        <w:rPr>
          <w:rFonts w:ascii="Arial" w:hAnsi="Arial" w:cs="Arial"/>
        </w:rPr>
        <w:t>0</w:t>
      </w:r>
      <w:r w:rsidR="00DF0821">
        <w:rPr>
          <w:rFonts w:ascii="Arial" w:hAnsi="Arial" w:cs="Arial"/>
        </w:rPr>
        <w:t>1604 713</w:t>
      </w:r>
      <w:r w:rsidR="00DD0255">
        <w:rPr>
          <w:rFonts w:ascii="Arial" w:hAnsi="Arial" w:cs="Arial"/>
        </w:rPr>
        <w:t>103</w:t>
      </w:r>
    </w:p>
    <w:p w14:paraId="3F0F6D46" w14:textId="6EDB892E" w:rsidR="00756266" w:rsidRPr="00756266" w:rsidRDefault="00756266" w:rsidP="00756266">
      <w:pPr>
        <w:rPr>
          <w:rFonts w:ascii="Arial" w:hAnsi="Arial" w:cs="Arial"/>
        </w:rPr>
      </w:pPr>
    </w:p>
    <w:p w14:paraId="4DDFE0AF" w14:textId="77777777" w:rsidR="00756266" w:rsidRPr="00756266" w:rsidRDefault="00756266" w:rsidP="00756266">
      <w:pPr>
        <w:rPr>
          <w:rFonts w:ascii="Arial" w:hAnsi="Arial" w:cs="Arial"/>
          <w:b/>
          <w:bCs/>
        </w:rPr>
      </w:pPr>
      <w:r w:rsidRPr="00756266">
        <w:rPr>
          <w:rFonts w:ascii="Arial" w:hAnsi="Arial" w:cs="Arial"/>
          <w:b/>
          <w:bCs/>
        </w:rPr>
        <w:t>3. What Personal Data We Collect</w:t>
      </w:r>
    </w:p>
    <w:p w14:paraId="20BB73A4" w14:textId="77777777" w:rsidR="00756266" w:rsidRPr="00756266" w:rsidRDefault="00756266" w:rsidP="00756266">
      <w:pPr>
        <w:rPr>
          <w:rFonts w:ascii="Arial" w:hAnsi="Arial" w:cs="Arial"/>
        </w:rPr>
      </w:pPr>
      <w:r w:rsidRPr="00756266">
        <w:rPr>
          <w:rFonts w:ascii="Arial" w:hAnsi="Arial" w:cs="Arial"/>
        </w:rPr>
        <w:t>Onyx collects and processes only the personal data necessary to deliver support services effectively, meet funding requirements, and ensure quality assurance.</w:t>
      </w:r>
    </w:p>
    <w:p w14:paraId="52501ACA" w14:textId="77777777" w:rsidR="00756266" w:rsidRPr="00756266" w:rsidRDefault="00756266" w:rsidP="00756266">
      <w:pPr>
        <w:rPr>
          <w:rFonts w:ascii="Arial" w:hAnsi="Arial" w:cs="Arial"/>
          <w:b/>
          <w:bCs/>
        </w:rPr>
      </w:pPr>
      <w:r w:rsidRPr="00756266">
        <w:rPr>
          <w:rFonts w:ascii="Arial" w:hAnsi="Arial" w:cs="Arial"/>
          <w:b/>
          <w:bCs/>
        </w:rPr>
        <w:t>Categories of Data We May Hold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9"/>
        <w:gridCol w:w="6807"/>
      </w:tblGrid>
      <w:tr w:rsidR="00756266" w:rsidRPr="00756266" w14:paraId="6AEFB457" w14:textId="77777777" w:rsidTr="00E15A3F">
        <w:trPr>
          <w:tblHeader/>
          <w:tblCellSpacing w:w="15" w:type="dxa"/>
        </w:trPr>
        <w:tc>
          <w:tcPr>
            <w:tcW w:w="0" w:type="auto"/>
            <w:vAlign w:val="center"/>
            <w:hideMark/>
          </w:tcPr>
          <w:p w14:paraId="6620AAC5" w14:textId="77777777" w:rsidR="00756266" w:rsidRPr="00756266" w:rsidRDefault="00756266" w:rsidP="00756266">
            <w:pPr>
              <w:rPr>
                <w:rFonts w:ascii="Arial" w:hAnsi="Arial" w:cs="Arial"/>
                <w:b/>
                <w:bCs/>
              </w:rPr>
            </w:pPr>
            <w:r w:rsidRPr="00756266">
              <w:rPr>
                <w:rFonts w:ascii="Arial" w:hAnsi="Arial" w:cs="Arial"/>
                <w:b/>
                <w:bCs/>
              </w:rPr>
              <w:t>Type</w:t>
            </w:r>
          </w:p>
        </w:tc>
        <w:tc>
          <w:tcPr>
            <w:tcW w:w="0" w:type="auto"/>
            <w:vAlign w:val="center"/>
            <w:hideMark/>
          </w:tcPr>
          <w:p w14:paraId="0E443D48" w14:textId="77777777" w:rsidR="00756266" w:rsidRPr="00756266" w:rsidRDefault="00756266" w:rsidP="00756266">
            <w:pPr>
              <w:rPr>
                <w:rFonts w:ascii="Arial" w:hAnsi="Arial" w:cs="Arial"/>
                <w:b/>
                <w:bCs/>
              </w:rPr>
            </w:pPr>
            <w:r w:rsidRPr="00756266">
              <w:rPr>
                <w:rFonts w:ascii="Arial" w:hAnsi="Arial" w:cs="Arial"/>
                <w:b/>
                <w:bCs/>
              </w:rPr>
              <w:t>Examples</w:t>
            </w:r>
          </w:p>
        </w:tc>
      </w:tr>
      <w:tr w:rsidR="00756266" w:rsidRPr="00756266" w14:paraId="722041BD" w14:textId="77777777" w:rsidTr="00E15A3F">
        <w:trPr>
          <w:tblCellSpacing w:w="15" w:type="dxa"/>
        </w:trPr>
        <w:tc>
          <w:tcPr>
            <w:tcW w:w="0" w:type="auto"/>
            <w:vAlign w:val="center"/>
            <w:hideMark/>
          </w:tcPr>
          <w:p w14:paraId="08E66EDC" w14:textId="77777777" w:rsidR="00756266" w:rsidRPr="00756266" w:rsidRDefault="00756266" w:rsidP="00756266">
            <w:pPr>
              <w:rPr>
                <w:rFonts w:ascii="Arial" w:hAnsi="Arial" w:cs="Arial"/>
              </w:rPr>
            </w:pPr>
            <w:r w:rsidRPr="00756266">
              <w:rPr>
                <w:rFonts w:ascii="Arial" w:hAnsi="Arial" w:cs="Arial"/>
                <w:b/>
                <w:bCs/>
              </w:rPr>
              <w:t>Identification</w:t>
            </w:r>
          </w:p>
        </w:tc>
        <w:tc>
          <w:tcPr>
            <w:tcW w:w="0" w:type="auto"/>
            <w:vAlign w:val="center"/>
            <w:hideMark/>
          </w:tcPr>
          <w:p w14:paraId="0B37AE24" w14:textId="77777777" w:rsidR="00756266" w:rsidRPr="00756266" w:rsidRDefault="00756266" w:rsidP="00756266">
            <w:pPr>
              <w:rPr>
                <w:rFonts w:ascii="Arial" w:hAnsi="Arial" w:cs="Arial"/>
              </w:rPr>
            </w:pPr>
            <w:r w:rsidRPr="00756266">
              <w:rPr>
                <w:rFonts w:ascii="Arial" w:hAnsi="Arial" w:cs="Arial"/>
              </w:rPr>
              <w:t>Name, student ID, date of birth, address, contact details</w:t>
            </w:r>
          </w:p>
        </w:tc>
      </w:tr>
      <w:tr w:rsidR="00756266" w:rsidRPr="00756266" w14:paraId="01410193" w14:textId="77777777" w:rsidTr="00E15A3F">
        <w:trPr>
          <w:tblCellSpacing w:w="15" w:type="dxa"/>
        </w:trPr>
        <w:tc>
          <w:tcPr>
            <w:tcW w:w="0" w:type="auto"/>
            <w:vAlign w:val="center"/>
            <w:hideMark/>
          </w:tcPr>
          <w:p w14:paraId="5A86E55F" w14:textId="77777777" w:rsidR="00756266" w:rsidRPr="00756266" w:rsidRDefault="00756266" w:rsidP="00756266">
            <w:pPr>
              <w:rPr>
                <w:rFonts w:ascii="Arial" w:hAnsi="Arial" w:cs="Arial"/>
              </w:rPr>
            </w:pPr>
            <w:r w:rsidRPr="00756266">
              <w:rPr>
                <w:rFonts w:ascii="Arial" w:hAnsi="Arial" w:cs="Arial"/>
                <w:b/>
                <w:bCs/>
              </w:rPr>
              <w:t>Education &amp; Funding</w:t>
            </w:r>
          </w:p>
        </w:tc>
        <w:tc>
          <w:tcPr>
            <w:tcW w:w="0" w:type="auto"/>
            <w:vAlign w:val="center"/>
            <w:hideMark/>
          </w:tcPr>
          <w:p w14:paraId="041A5524" w14:textId="4EC79663" w:rsidR="00756266" w:rsidRPr="00756266" w:rsidRDefault="00E15A3F" w:rsidP="00756266">
            <w:pPr>
              <w:rPr>
                <w:rFonts w:ascii="Arial" w:hAnsi="Arial" w:cs="Arial"/>
              </w:rPr>
            </w:pPr>
            <w:r w:rsidRPr="00E15A3F">
              <w:rPr>
                <w:rFonts w:ascii="Arial" w:hAnsi="Arial" w:cs="Arial"/>
              </w:rPr>
              <w:t>C</w:t>
            </w:r>
            <w:r w:rsidR="00756266" w:rsidRPr="00756266">
              <w:rPr>
                <w:rFonts w:ascii="Arial" w:hAnsi="Arial" w:cs="Arial"/>
              </w:rPr>
              <w:t>ourse details, funding approval and duration</w:t>
            </w:r>
          </w:p>
        </w:tc>
      </w:tr>
      <w:tr w:rsidR="00756266" w:rsidRPr="00756266" w14:paraId="58589C88" w14:textId="77777777" w:rsidTr="00E15A3F">
        <w:trPr>
          <w:tblCellSpacing w:w="15" w:type="dxa"/>
        </w:trPr>
        <w:tc>
          <w:tcPr>
            <w:tcW w:w="0" w:type="auto"/>
            <w:vAlign w:val="center"/>
            <w:hideMark/>
          </w:tcPr>
          <w:p w14:paraId="35E6206C" w14:textId="77777777" w:rsidR="00756266" w:rsidRPr="00756266" w:rsidRDefault="00756266" w:rsidP="00756266">
            <w:pPr>
              <w:rPr>
                <w:rFonts w:ascii="Arial" w:hAnsi="Arial" w:cs="Arial"/>
              </w:rPr>
            </w:pPr>
            <w:r w:rsidRPr="00756266">
              <w:rPr>
                <w:rFonts w:ascii="Arial" w:hAnsi="Arial" w:cs="Arial"/>
                <w:b/>
                <w:bCs/>
              </w:rPr>
              <w:t>Disability &amp; Needs</w:t>
            </w:r>
          </w:p>
        </w:tc>
        <w:tc>
          <w:tcPr>
            <w:tcW w:w="0" w:type="auto"/>
            <w:vAlign w:val="center"/>
            <w:hideMark/>
          </w:tcPr>
          <w:p w14:paraId="587695AB" w14:textId="77777777" w:rsidR="00756266" w:rsidRPr="00756266" w:rsidRDefault="00756266" w:rsidP="00756266">
            <w:pPr>
              <w:rPr>
                <w:rFonts w:ascii="Arial" w:hAnsi="Arial" w:cs="Arial"/>
              </w:rPr>
            </w:pPr>
            <w:r w:rsidRPr="00756266">
              <w:rPr>
                <w:rFonts w:ascii="Arial" w:hAnsi="Arial" w:cs="Arial"/>
              </w:rPr>
              <w:t>Learning needs assessment, reasonable adjustments, relevant disability information</w:t>
            </w:r>
          </w:p>
        </w:tc>
      </w:tr>
      <w:tr w:rsidR="00756266" w:rsidRPr="00756266" w14:paraId="4EFD06AA" w14:textId="77777777" w:rsidTr="00E15A3F">
        <w:trPr>
          <w:tblCellSpacing w:w="15" w:type="dxa"/>
        </w:trPr>
        <w:tc>
          <w:tcPr>
            <w:tcW w:w="0" w:type="auto"/>
            <w:vAlign w:val="center"/>
            <w:hideMark/>
          </w:tcPr>
          <w:p w14:paraId="5A79FE52" w14:textId="77777777" w:rsidR="00756266" w:rsidRPr="00756266" w:rsidRDefault="00756266" w:rsidP="00756266">
            <w:pPr>
              <w:rPr>
                <w:rFonts w:ascii="Arial" w:hAnsi="Arial" w:cs="Arial"/>
              </w:rPr>
            </w:pPr>
            <w:r w:rsidRPr="00756266">
              <w:rPr>
                <w:rFonts w:ascii="Arial" w:hAnsi="Arial" w:cs="Arial"/>
                <w:b/>
                <w:bCs/>
              </w:rPr>
              <w:t>Support Delivery</w:t>
            </w:r>
          </w:p>
        </w:tc>
        <w:tc>
          <w:tcPr>
            <w:tcW w:w="0" w:type="auto"/>
            <w:vAlign w:val="center"/>
            <w:hideMark/>
          </w:tcPr>
          <w:p w14:paraId="151E85BB" w14:textId="77777777" w:rsidR="00756266" w:rsidRPr="00756266" w:rsidRDefault="00756266" w:rsidP="00756266">
            <w:pPr>
              <w:rPr>
                <w:rFonts w:ascii="Arial" w:hAnsi="Arial" w:cs="Arial"/>
              </w:rPr>
            </w:pPr>
            <w:r w:rsidRPr="00756266">
              <w:rPr>
                <w:rFonts w:ascii="Arial" w:hAnsi="Arial" w:cs="Arial"/>
              </w:rPr>
              <w:t>Workplans, attendance records, session notes, timesheets</w:t>
            </w:r>
          </w:p>
        </w:tc>
      </w:tr>
      <w:tr w:rsidR="00756266" w:rsidRPr="00756266" w14:paraId="6CE3CD83" w14:textId="77777777" w:rsidTr="00E15A3F">
        <w:trPr>
          <w:tblCellSpacing w:w="15" w:type="dxa"/>
        </w:trPr>
        <w:tc>
          <w:tcPr>
            <w:tcW w:w="0" w:type="auto"/>
            <w:vAlign w:val="center"/>
            <w:hideMark/>
          </w:tcPr>
          <w:p w14:paraId="5BF57648" w14:textId="77777777" w:rsidR="00756266" w:rsidRPr="00756266" w:rsidRDefault="00756266" w:rsidP="00756266">
            <w:pPr>
              <w:rPr>
                <w:rFonts w:ascii="Arial" w:hAnsi="Arial" w:cs="Arial"/>
              </w:rPr>
            </w:pPr>
            <w:r w:rsidRPr="00756266">
              <w:rPr>
                <w:rFonts w:ascii="Arial" w:hAnsi="Arial" w:cs="Arial"/>
                <w:b/>
                <w:bCs/>
              </w:rPr>
              <w:t>Correspondence</w:t>
            </w:r>
          </w:p>
        </w:tc>
        <w:tc>
          <w:tcPr>
            <w:tcW w:w="0" w:type="auto"/>
            <w:vAlign w:val="center"/>
            <w:hideMark/>
          </w:tcPr>
          <w:p w14:paraId="72C78FC8" w14:textId="77777777" w:rsidR="00756266" w:rsidRPr="00756266" w:rsidRDefault="00756266" w:rsidP="00756266">
            <w:pPr>
              <w:rPr>
                <w:rFonts w:ascii="Arial" w:hAnsi="Arial" w:cs="Arial"/>
              </w:rPr>
            </w:pPr>
            <w:r w:rsidRPr="00756266">
              <w:rPr>
                <w:rFonts w:ascii="Arial" w:hAnsi="Arial" w:cs="Arial"/>
              </w:rPr>
              <w:t>Emails, messages, and coordination with HEIs or assessment centres</w:t>
            </w:r>
          </w:p>
        </w:tc>
      </w:tr>
      <w:tr w:rsidR="00756266" w:rsidRPr="00756266" w14:paraId="620D8880" w14:textId="77777777" w:rsidTr="00E15A3F">
        <w:trPr>
          <w:tblCellSpacing w:w="15" w:type="dxa"/>
        </w:trPr>
        <w:tc>
          <w:tcPr>
            <w:tcW w:w="0" w:type="auto"/>
            <w:vAlign w:val="center"/>
            <w:hideMark/>
          </w:tcPr>
          <w:p w14:paraId="7A4FFD1E" w14:textId="77777777" w:rsidR="00756266" w:rsidRPr="00756266" w:rsidRDefault="00756266" w:rsidP="00756266">
            <w:pPr>
              <w:rPr>
                <w:rFonts w:ascii="Arial" w:hAnsi="Arial" w:cs="Arial"/>
              </w:rPr>
            </w:pPr>
            <w:r w:rsidRPr="00756266">
              <w:rPr>
                <w:rFonts w:ascii="Arial" w:hAnsi="Arial" w:cs="Arial"/>
                <w:b/>
                <w:bCs/>
              </w:rPr>
              <w:t>Safeguarding</w:t>
            </w:r>
          </w:p>
        </w:tc>
        <w:tc>
          <w:tcPr>
            <w:tcW w:w="0" w:type="auto"/>
            <w:vAlign w:val="center"/>
            <w:hideMark/>
          </w:tcPr>
          <w:p w14:paraId="69AE62B4" w14:textId="77777777" w:rsidR="00756266" w:rsidRPr="00756266" w:rsidRDefault="00756266" w:rsidP="00756266">
            <w:pPr>
              <w:rPr>
                <w:rFonts w:ascii="Arial" w:hAnsi="Arial" w:cs="Arial"/>
              </w:rPr>
            </w:pPr>
            <w:r w:rsidRPr="00756266">
              <w:rPr>
                <w:rFonts w:ascii="Arial" w:hAnsi="Arial" w:cs="Arial"/>
              </w:rPr>
              <w:t>Disclosures or incident reports (where applicable)</w:t>
            </w:r>
          </w:p>
        </w:tc>
      </w:tr>
    </w:tbl>
    <w:p w14:paraId="2E276F67" w14:textId="73977B91" w:rsidR="00756266" w:rsidRPr="00756266" w:rsidRDefault="00756266" w:rsidP="00756266">
      <w:pPr>
        <w:rPr>
          <w:rFonts w:ascii="Arial" w:hAnsi="Arial" w:cs="Arial"/>
        </w:rPr>
      </w:pPr>
      <w:r w:rsidRPr="00756266">
        <w:rPr>
          <w:rFonts w:ascii="Arial" w:hAnsi="Arial" w:cs="Arial"/>
        </w:rPr>
        <w:lastRenderedPageBreak/>
        <w:t>Some of this information may include special category data, such as disability or health-related information, which is handled under strict confidentiality and legal protections.</w:t>
      </w:r>
    </w:p>
    <w:p w14:paraId="39E97F8F" w14:textId="77777777" w:rsidR="00756266" w:rsidRPr="00756266" w:rsidRDefault="00756266" w:rsidP="00756266">
      <w:pPr>
        <w:rPr>
          <w:rFonts w:ascii="Arial" w:hAnsi="Arial" w:cs="Arial"/>
          <w:b/>
          <w:bCs/>
        </w:rPr>
      </w:pPr>
      <w:r w:rsidRPr="00756266">
        <w:rPr>
          <w:rFonts w:ascii="Arial" w:hAnsi="Arial" w:cs="Arial"/>
          <w:b/>
          <w:bCs/>
        </w:rPr>
        <w:t>4. Why We Collect This Data</w:t>
      </w:r>
    </w:p>
    <w:p w14:paraId="4DCF732E" w14:textId="77777777" w:rsidR="00756266" w:rsidRPr="00756266" w:rsidRDefault="00756266" w:rsidP="00756266">
      <w:pPr>
        <w:rPr>
          <w:rFonts w:ascii="Arial" w:hAnsi="Arial" w:cs="Arial"/>
        </w:rPr>
      </w:pPr>
      <w:r w:rsidRPr="00756266">
        <w:rPr>
          <w:rFonts w:ascii="Arial" w:hAnsi="Arial" w:cs="Arial"/>
        </w:rPr>
        <w:t>Onyx collects and uses student data to:</w:t>
      </w:r>
    </w:p>
    <w:p w14:paraId="2A828A92" w14:textId="77777777" w:rsidR="00756266" w:rsidRPr="00756266" w:rsidRDefault="00756266" w:rsidP="00756266">
      <w:pPr>
        <w:numPr>
          <w:ilvl w:val="0"/>
          <w:numId w:val="1"/>
        </w:numPr>
        <w:rPr>
          <w:rFonts w:ascii="Arial" w:hAnsi="Arial" w:cs="Arial"/>
        </w:rPr>
      </w:pPr>
      <w:r w:rsidRPr="00756266">
        <w:rPr>
          <w:rFonts w:ascii="Arial" w:hAnsi="Arial" w:cs="Arial"/>
        </w:rPr>
        <w:t>Deliver support sessions funded under the DSA or university programme.</w:t>
      </w:r>
    </w:p>
    <w:p w14:paraId="6D0ADB3A" w14:textId="77777777" w:rsidR="00756266" w:rsidRPr="00756266" w:rsidRDefault="00756266" w:rsidP="00756266">
      <w:pPr>
        <w:numPr>
          <w:ilvl w:val="0"/>
          <w:numId w:val="1"/>
        </w:numPr>
        <w:rPr>
          <w:rFonts w:ascii="Arial" w:hAnsi="Arial" w:cs="Arial"/>
        </w:rPr>
      </w:pPr>
      <w:r w:rsidRPr="00756266">
        <w:rPr>
          <w:rFonts w:ascii="Arial" w:hAnsi="Arial" w:cs="Arial"/>
        </w:rPr>
        <w:t>Monitor progress and maintain accurate records of support provided.</w:t>
      </w:r>
    </w:p>
    <w:p w14:paraId="54893841" w14:textId="77777777" w:rsidR="00756266" w:rsidRPr="00756266" w:rsidRDefault="00756266" w:rsidP="00756266">
      <w:pPr>
        <w:numPr>
          <w:ilvl w:val="0"/>
          <w:numId w:val="1"/>
        </w:numPr>
        <w:rPr>
          <w:rFonts w:ascii="Arial" w:hAnsi="Arial" w:cs="Arial"/>
        </w:rPr>
      </w:pPr>
      <w:r w:rsidRPr="00756266">
        <w:rPr>
          <w:rFonts w:ascii="Arial" w:hAnsi="Arial" w:cs="Arial"/>
        </w:rPr>
        <w:t>Evidence sessions delivered to funders for payment and audit.</w:t>
      </w:r>
    </w:p>
    <w:p w14:paraId="2F3FFCF1" w14:textId="77777777" w:rsidR="00756266" w:rsidRPr="00756266" w:rsidRDefault="00756266" w:rsidP="00756266">
      <w:pPr>
        <w:numPr>
          <w:ilvl w:val="0"/>
          <w:numId w:val="1"/>
        </w:numPr>
        <w:rPr>
          <w:rFonts w:ascii="Arial" w:hAnsi="Arial" w:cs="Arial"/>
        </w:rPr>
      </w:pPr>
      <w:r w:rsidRPr="00756266">
        <w:rPr>
          <w:rFonts w:ascii="Arial" w:hAnsi="Arial" w:cs="Arial"/>
        </w:rPr>
        <w:t>Ensure safeguarding and wellbeing.</w:t>
      </w:r>
    </w:p>
    <w:p w14:paraId="44D76F89" w14:textId="77777777" w:rsidR="00756266" w:rsidRPr="00756266" w:rsidRDefault="00756266" w:rsidP="00756266">
      <w:pPr>
        <w:numPr>
          <w:ilvl w:val="0"/>
          <w:numId w:val="1"/>
        </w:numPr>
        <w:rPr>
          <w:rFonts w:ascii="Arial" w:hAnsi="Arial" w:cs="Arial"/>
        </w:rPr>
      </w:pPr>
      <w:r w:rsidRPr="00756266">
        <w:rPr>
          <w:rFonts w:ascii="Arial" w:hAnsi="Arial" w:cs="Arial"/>
        </w:rPr>
        <w:t>Communicate with HEIs, assessment centres, or funding bodies.</w:t>
      </w:r>
    </w:p>
    <w:p w14:paraId="17DEA746" w14:textId="77777777" w:rsidR="00756266" w:rsidRPr="00756266" w:rsidRDefault="00756266" w:rsidP="00756266">
      <w:pPr>
        <w:numPr>
          <w:ilvl w:val="0"/>
          <w:numId w:val="1"/>
        </w:numPr>
        <w:rPr>
          <w:rFonts w:ascii="Arial" w:hAnsi="Arial" w:cs="Arial"/>
        </w:rPr>
      </w:pPr>
      <w:r w:rsidRPr="00756266">
        <w:rPr>
          <w:rFonts w:ascii="Arial" w:hAnsi="Arial" w:cs="Arial"/>
        </w:rPr>
        <w:t>Maintain service quality and meet legal obligations.</w:t>
      </w:r>
    </w:p>
    <w:p w14:paraId="53C3ED5D" w14:textId="156C6589" w:rsidR="00756266" w:rsidRPr="00756266" w:rsidRDefault="00756266" w:rsidP="00756266">
      <w:pPr>
        <w:rPr>
          <w:rFonts w:ascii="Arial" w:hAnsi="Arial" w:cs="Arial"/>
        </w:rPr>
      </w:pPr>
    </w:p>
    <w:p w14:paraId="1E75E6D3" w14:textId="77777777" w:rsidR="00756266" w:rsidRPr="00756266" w:rsidRDefault="00756266" w:rsidP="00756266">
      <w:pPr>
        <w:rPr>
          <w:rFonts w:ascii="Arial" w:hAnsi="Arial" w:cs="Arial"/>
          <w:b/>
          <w:bCs/>
        </w:rPr>
      </w:pPr>
      <w:r w:rsidRPr="00756266">
        <w:rPr>
          <w:rFonts w:ascii="Arial" w:hAnsi="Arial" w:cs="Arial"/>
          <w:b/>
          <w:bCs/>
        </w:rPr>
        <w:t>5. Lawful Bases for Processing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5"/>
        <w:gridCol w:w="5701"/>
      </w:tblGrid>
      <w:tr w:rsidR="00756266" w:rsidRPr="00756266" w14:paraId="0A193415" w14:textId="77777777" w:rsidTr="00E15A3F">
        <w:trPr>
          <w:tblHeader/>
          <w:tblCellSpacing w:w="15" w:type="dxa"/>
        </w:trPr>
        <w:tc>
          <w:tcPr>
            <w:tcW w:w="0" w:type="auto"/>
            <w:vAlign w:val="center"/>
            <w:hideMark/>
          </w:tcPr>
          <w:p w14:paraId="2C24DE8E" w14:textId="77777777" w:rsidR="00756266" w:rsidRPr="00756266" w:rsidRDefault="00756266" w:rsidP="00756266">
            <w:pPr>
              <w:rPr>
                <w:rFonts w:ascii="Arial" w:hAnsi="Arial" w:cs="Arial"/>
                <w:b/>
                <w:bCs/>
              </w:rPr>
            </w:pPr>
            <w:r w:rsidRPr="00756266">
              <w:rPr>
                <w:rFonts w:ascii="Arial" w:hAnsi="Arial" w:cs="Arial"/>
                <w:b/>
                <w:bCs/>
              </w:rPr>
              <w:t>Purpose</w:t>
            </w:r>
          </w:p>
        </w:tc>
        <w:tc>
          <w:tcPr>
            <w:tcW w:w="0" w:type="auto"/>
            <w:vAlign w:val="center"/>
            <w:hideMark/>
          </w:tcPr>
          <w:p w14:paraId="1D7AC661" w14:textId="77777777" w:rsidR="00756266" w:rsidRPr="00756266" w:rsidRDefault="00756266" w:rsidP="00756266">
            <w:pPr>
              <w:rPr>
                <w:rFonts w:ascii="Arial" w:hAnsi="Arial" w:cs="Arial"/>
                <w:b/>
                <w:bCs/>
              </w:rPr>
            </w:pPr>
            <w:r w:rsidRPr="00756266">
              <w:rPr>
                <w:rFonts w:ascii="Arial" w:hAnsi="Arial" w:cs="Arial"/>
                <w:b/>
                <w:bCs/>
              </w:rPr>
              <w:t>Lawful Basis</w:t>
            </w:r>
          </w:p>
        </w:tc>
      </w:tr>
      <w:tr w:rsidR="00756266" w:rsidRPr="00756266" w14:paraId="17223286" w14:textId="77777777" w:rsidTr="00E15A3F">
        <w:trPr>
          <w:tblCellSpacing w:w="15" w:type="dxa"/>
        </w:trPr>
        <w:tc>
          <w:tcPr>
            <w:tcW w:w="0" w:type="auto"/>
            <w:vAlign w:val="center"/>
            <w:hideMark/>
          </w:tcPr>
          <w:p w14:paraId="03EFCFFE" w14:textId="77777777" w:rsidR="00756266" w:rsidRPr="00756266" w:rsidRDefault="00756266" w:rsidP="00756266">
            <w:pPr>
              <w:rPr>
                <w:rFonts w:ascii="Arial" w:hAnsi="Arial" w:cs="Arial"/>
              </w:rPr>
            </w:pPr>
            <w:r w:rsidRPr="00756266">
              <w:rPr>
                <w:rFonts w:ascii="Arial" w:hAnsi="Arial" w:cs="Arial"/>
              </w:rPr>
              <w:t>Delivery of support and session management</w:t>
            </w:r>
          </w:p>
        </w:tc>
        <w:tc>
          <w:tcPr>
            <w:tcW w:w="0" w:type="auto"/>
            <w:vAlign w:val="center"/>
            <w:hideMark/>
          </w:tcPr>
          <w:p w14:paraId="220AE5E4" w14:textId="77777777" w:rsidR="00756266" w:rsidRPr="00756266" w:rsidRDefault="00756266" w:rsidP="00756266">
            <w:pPr>
              <w:rPr>
                <w:rFonts w:ascii="Arial" w:hAnsi="Arial" w:cs="Arial"/>
              </w:rPr>
            </w:pPr>
            <w:r w:rsidRPr="00756266">
              <w:rPr>
                <w:rFonts w:ascii="Arial" w:hAnsi="Arial" w:cs="Arial"/>
                <w:b/>
                <w:bCs/>
              </w:rPr>
              <w:t>Contract</w:t>
            </w:r>
            <w:r w:rsidRPr="00756266">
              <w:rPr>
                <w:rFonts w:ascii="Arial" w:hAnsi="Arial" w:cs="Arial"/>
              </w:rPr>
              <w:t xml:space="preserve"> (Article 6(1)(b))</w:t>
            </w:r>
          </w:p>
        </w:tc>
      </w:tr>
      <w:tr w:rsidR="00756266" w:rsidRPr="00756266" w14:paraId="3931B76D" w14:textId="77777777" w:rsidTr="00E15A3F">
        <w:trPr>
          <w:tblCellSpacing w:w="15" w:type="dxa"/>
        </w:trPr>
        <w:tc>
          <w:tcPr>
            <w:tcW w:w="0" w:type="auto"/>
            <w:vAlign w:val="center"/>
            <w:hideMark/>
          </w:tcPr>
          <w:p w14:paraId="15F8F83A" w14:textId="77777777" w:rsidR="00756266" w:rsidRPr="00756266" w:rsidRDefault="00756266" w:rsidP="00756266">
            <w:pPr>
              <w:rPr>
                <w:rFonts w:ascii="Arial" w:hAnsi="Arial" w:cs="Arial"/>
              </w:rPr>
            </w:pPr>
            <w:r w:rsidRPr="00756266">
              <w:rPr>
                <w:rFonts w:ascii="Arial" w:hAnsi="Arial" w:cs="Arial"/>
              </w:rPr>
              <w:t>Safeguarding and legal reporting duties</w:t>
            </w:r>
          </w:p>
        </w:tc>
        <w:tc>
          <w:tcPr>
            <w:tcW w:w="0" w:type="auto"/>
            <w:vAlign w:val="center"/>
            <w:hideMark/>
          </w:tcPr>
          <w:p w14:paraId="0B578FBB" w14:textId="77777777" w:rsidR="00756266" w:rsidRPr="00756266" w:rsidRDefault="00756266" w:rsidP="00756266">
            <w:pPr>
              <w:rPr>
                <w:rFonts w:ascii="Arial" w:hAnsi="Arial" w:cs="Arial"/>
              </w:rPr>
            </w:pPr>
            <w:r w:rsidRPr="00756266">
              <w:rPr>
                <w:rFonts w:ascii="Arial" w:hAnsi="Arial" w:cs="Arial"/>
                <w:b/>
                <w:bCs/>
              </w:rPr>
              <w:t>Legal Obligation</w:t>
            </w:r>
            <w:r w:rsidRPr="00756266">
              <w:rPr>
                <w:rFonts w:ascii="Arial" w:hAnsi="Arial" w:cs="Arial"/>
              </w:rPr>
              <w:t xml:space="preserve"> (Article 6(1)(c))</w:t>
            </w:r>
          </w:p>
        </w:tc>
      </w:tr>
      <w:tr w:rsidR="00756266" w:rsidRPr="00756266" w14:paraId="2E34AF76" w14:textId="77777777" w:rsidTr="00E15A3F">
        <w:trPr>
          <w:tblCellSpacing w:w="15" w:type="dxa"/>
        </w:trPr>
        <w:tc>
          <w:tcPr>
            <w:tcW w:w="0" w:type="auto"/>
            <w:vAlign w:val="center"/>
            <w:hideMark/>
          </w:tcPr>
          <w:p w14:paraId="435696CE" w14:textId="77777777" w:rsidR="00756266" w:rsidRPr="00756266" w:rsidRDefault="00756266" w:rsidP="00756266">
            <w:pPr>
              <w:rPr>
                <w:rFonts w:ascii="Arial" w:hAnsi="Arial" w:cs="Arial"/>
              </w:rPr>
            </w:pPr>
            <w:r w:rsidRPr="00756266">
              <w:rPr>
                <w:rFonts w:ascii="Arial" w:hAnsi="Arial" w:cs="Arial"/>
              </w:rPr>
              <w:t>Quality, audit, and compliance monitoring</w:t>
            </w:r>
          </w:p>
        </w:tc>
        <w:tc>
          <w:tcPr>
            <w:tcW w:w="0" w:type="auto"/>
            <w:vAlign w:val="center"/>
            <w:hideMark/>
          </w:tcPr>
          <w:p w14:paraId="6BE43E3E" w14:textId="77777777" w:rsidR="00756266" w:rsidRPr="00756266" w:rsidRDefault="00756266" w:rsidP="00756266">
            <w:pPr>
              <w:rPr>
                <w:rFonts w:ascii="Arial" w:hAnsi="Arial" w:cs="Arial"/>
              </w:rPr>
            </w:pPr>
            <w:r w:rsidRPr="00756266">
              <w:rPr>
                <w:rFonts w:ascii="Arial" w:hAnsi="Arial" w:cs="Arial"/>
                <w:b/>
                <w:bCs/>
              </w:rPr>
              <w:t>Legitimate Interests</w:t>
            </w:r>
            <w:r w:rsidRPr="00756266">
              <w:rPr>
                <w:rFonts w:ascii="Arial" w:hAnsi="Arial" w:cs="Arial"/>
              </w:rPr>
              <w:t xml:space="preserve"> (Article 6(1)(f))</w:t>
            </w:r>
          </w:p>
        </w:tc>
      </w:tr>
      <w:tr w:rsidR="00756266" w:rsidRPr="00756266" w14:paraId="777FEF18" w14:textId="77777777" w:rsidTr="00E15A3F">
        <w:trPr>
          <w:tblCellSpacing w:w="15" w:type="dxa"/>
        </w:trPr>
        <w:tc>
          <w:tcPr>
            <w:tcW w:w="0" w:type="auto"/>
            <w:vAlign w:val="center"/>
            <w:hideMark/>
          </w:tcPr>
          <w:p w14:paraId="363BFABD" w14:textId="77777777" w:rsidR="00756266" w:rsidRPr="00756266" w:rsidRDefault="00756266" w:rsidP="00756266">
            <w:pPr>
              <w:rPr>
                <w:rFonts w:ascii="Arial" w:hAnsi="Arial" w:cs="Arial"/>
              </w:rPr>
            </w:pPr>
            <w:r w:rsidRPr="00756266">
              <w:rPr>
                <w:rFonts w:ascii="Arial" w:hAnsi="Arial" w:cs="Arial"/>
              </w:rPr>
              <w:t>Processing of health or disability information</w:t>
            </w:r>
          </w:p>
        </w:tc>
        <w:tc>
          <w:tcPr>
            <w:tcW w:w="0" w:type="auto"/>
            <w:vAlign w:val="center"/>
            <w:hideMark/>
          </w:tcPr>
          <w:p w14:paraId="360EF954" w14:textId="77777777" w:rsidR="00756266" w:rsidRPr="00756266" w:rsidRDefault="00756266" w:rsidP="00756266">
            <w:pPr>
              <w:rPr>
                <w:rFonts w:ascii="Arial" w:hAnsi="Arial" w:cs="Arial"/>
              </w:rPr>
            </w:pPr>
            <w:r w:rsidRPr="00756266">
              <w:rPr>
                <w:rFonts w:ascii="Arial" w:hAnsi="Arial" w:cs="Arial"/>
                <w:b/>
                <w:bCs/>
              </w:rPr>
              <w:t>Special Category Data</w:t>
            </w:r>
            <w:r w:rsidRPr="00756266">
              <w:rPr>
                <w:rFonts w:ascii="Arial" w:hAnsi="Arial" w:cs="Arial"/>
              </w:rPr>
              <w:t xml:space="preserve"> (Article 9(2)(b)) – for education and social protection purposes</w:t>
            </w:r>
          </w:p>
        </w:tc>
      </w:tr>
    </w:tbl>
    <w:p w14:paraId="020454EC" w14:textId="7A7FF5FC" w:rsidR="00756266" w:rsidRPr="00756266" w:rsidRDefault="00756266" w:rsidP="00756266">
      <w:pPr>
        <w:rPr>
          <w:rFonts w:ascii="Arial" w:hAnsi="Arial" w:cs="Arial"/>
        </w:rPr>
      </w:pPr>
    </w:p>
    <w:p w14:paraId="7B3A961B" w14:textId="77777777" w:rsidR="00756266" w:rsidRPr="00756266" w:rsidRDefault="00756266" w:rsidP="00756266">
      <w:pPr>
        <w:rPr>
          <w:rFonts w:ascii="Arial" w:hAnsi="Arial" w:cs="Arial"/>
          <w:b/>
          <w:bCs/>
        </w:rPr>
      </w:pPr>
      <w:r w:rsidRPr="00756266">
        <w:rPr>
          <w:rFonts w:ascii="Arial" w:hAnsi="Arial" w:cs="Arial"/>
          <w:b/>
          <w:bCs/>
        </w:rPr>
        <w:t>6. How We Use and Share Data</w:t>
      </w:r>
    </w:p>
    <w:p w14:paraId="119D88BE" w14:textId="77777777" w:rsidR="00756266" w:rsidRPr="00756266" w:rsidRDefault="00756266" w:rsidP="00756266">
      <w:pPr>
        <w:rPr>
          <w:rFonts w:ascii="Arial" w:hAnsi="Arial" w:cs="Arial"/>
        </w:rPr>
      </w:pPr>
      <w:r w:rsidRPr="00756266">
        <w:rPr>
          <w:rFonts w:ascii="Arial" w:hAnsi="Arial" w:cs="Arial"/>
        </w:rPr>
        <w:t>Data is used solely for service delivery, administration, and compliance.</w:t>
      </w:r>
      <w:r w:rsidRPr="00756266">
        <w:rPr>
          <w:rFonts w:ascii="Arial" w:hAnsi="Arial" w:cs="Arial"/>
        </w:rPr>
        <w:br/>
        <w:t>Onyx may share relevant data, on a need-to-know basis, with:</w:t>
      </w:r>
    </w:p>
    <w:p w14:paraId="6393A009" w14:textId="77777777" w:rsidR="00756266" w:rsidRPr="00756266" w:rsidRDefault="00756266" w:rsidP="00756266">
      <w:pPr>
        <w:numPr>
          <w:ilvl w:val="0"/>
          <w:numId w:val="2"/>
        </w:numPr>
        <w:rPr>
          <w:rFonts w:ascii="Arial" w:hAnsi="Arial" w:cs="Arial"/>
        </w:rPr>
      </w:pPr>
      <w:r w:rsidRPr="00756266">
        <w:rPr>
          <w:rFonts w:ascii="Arial" w:hAnsi="Arial" w:cs="Arial"/>
          <w:b/>
          <w:bCs/>
        </w:rPr>
        <w:t>Funding bodies</w:t>
      </w:r>
      <w:r w:rsidRPr="00756266">
        <w:rPr>
          <w:rFonts w:ascii="Arial" w:hAnsi="Arial" w:cs="Arial"/>
        </w:rPr>
        <w:t xml:space="preserve"> (e.g., Student Finance England / Wales) for payment and audit.</w:t>
      </w:r>
    </w:p>
    <w:p w14:paraId="316F7042" w14:textId="77777777" w:rsidR="00756266" w:rsidRPr="00756266" w:rsidRDefault="00756266" w:rsidP="00756266">
      <w:pPr>
        <w:numPr>
          <w:ilvl w:val="0"/>
          <w:numId w:val="2"/>
        </w:numPr>
        <w:rPr>
          <w:rFonts w:ascii="Arial" w:hAnsi="Arial" w:cs="Arial"/>
        </w:rPr>
      </w:pPr>
      <w:r w:rsidRPr="00756266">
        <w:rPr>
          <w:rFonts w:ascii="Arial" w:hAnsi="Arial" w:cs="Arial"/>
          <w:b/>
          <w:bCs/>
        </w:rPr>
        <w:t>Universities and colleges</w:t>
      </w:r>
      <w:r w:rsidRPr="00756266">
        <w:rPr>
          <w:rFonts w:ascii="Arial" w:hAnsi="Arial" w:cs="Arial"/>
        </w:rPr>
        <w:t xml:space="preserve"> for coordination of student support.</w:t>
      </w:r>
    </w:p>
    <w:p w14:paraId="1B32588A" w14:textId="77777777" w:rsidR="00756266" w:rsidRPr="00756266" w:rsidRDefault="00756266" w:rsidP="00756266">
      <w:pPr>
        <w:numPr>
          <w:ilvl w:val="0"/>
          <w:numId w:val="2"/>
        </w:numPr>
        <w:rPr>
          <w:rFonts w:ascii="Arial" w:hAnsi="Arial" w:cs="Arial"/>
        </w:rPr>
      </w:pPr>
      <w:r w:rsidRPr="00756266">
        <w:rPr>
          <w:rFonts w:ascii="Arial" w:hAnsi="Arial" w:cs="Arial"/>
          <w:b/>
          <w:bCs/>
        </w:rPr>
        <w:t>Assessment centres</w:t>
      </w:r>
      <w:r w:rsidRPr="00756266">
        <w:rPr>
          <w:rFonts w:ascii="Arial" w:hAnsi="Arial" w:cs="Arial"/>
        </w:rPr>
        <w:t xml:space="preserve"> or DSA needs assessors.</w:t>
      </w:r>
    </w:p>
    <w:p w14:paraId="757B6153" w14:textId="77777777" w:rsidR="00756266" w:rsidRPr="00756266" w:rsidRDefault="00756266" w:rsidP="00756266">
      <w:pPr>
        <w:numPr>
          <w:ilvl w:val="0"/>
          <w:numId w:val="2"/>
        </w:numPr>
        <w:rPr>
          <w:rFonts w:ascii="Arial" w:hAnsi="Arial" w:cs="Arial"/>
        </w:rPr>
      </w:pPr>
      <w:r w:rsidRPr="00756266">
        <w:rPr>
          <w:rFonts w:ascii="Arial" w:hAnsi="Arial" w:cs="Arial"/>
          <w:b/>
          <w:bCs/>
        </w:rPr>
        <w:t>Freelancers</w:t>
      </w:r>
      <w:r w:rsidRPr="00756266">
        <w:rPr>
          <w:rFonts w:ascii="Arial" w:hAnsi="Arial" w:cs="Arial"/>
        </w:rPr>
        <w:t xml:space="preserve"> delivering your support (bound by Onyx’s confidentiality and data protection agreements).</w:t>
      </w:r>
    </w:p>
    <w:p w14:paraId="19519A07" w14:textId="77777777" w:rsidR="00756266" w:rsidRPr="00756266" w:rsidRDefault="00756266" w:rsidP="00756266">
      <w:pPr>
        <w:numPr>
          <w:ilvl w:val="0"/>
          <w:numId w:val="2"/>
        </w:numPr>
        <w:rPr>
          <w:rFonts w:ascii="Arial" w:hAnsi="Arial" w:cs="Arial"/>
        </w:rPr>
      </w:pPr>
      <w:r w:rsidRPr="00756266">
        <w:rPr>
          <w:rFonts w:ascii="Arial" w:hAnsi="Arial" w:cs="Arial"/>
          <w:b/>
          <w:bCs/>
        </w:rPr>
        <w:t>Safeguarding or emergency services</w:t>
      </w:r>
      <w:r w:rsidRPr="00756266">
        <w:rPr>
          <w:rFonts w:ascii="Arial" w:hAnsi="Arial" w:cs="Arial"/>
        </w:rPr>
        <w:t xml:space="preserve"> where there is a serious risk of harm or legal duty to report.</w:t>
      </w:r>
    </w:p>
    <w:p w14:paraId="6A8EAF2B" w14:textId="77777777" w:rsidR="00756266" w:rsidRPr="00756266" w:rsidRDefault="00756266" w:rsidP="00756266">
      <w:pPr>
        <w:rPr>
          <w:rFonts w:ascii="Arial" w:hAnsi="Arial" w:cs="Arial"/>
        </w:rPr>
      </w:pPr>
      <w:r w:rsidRPr="00756266">
        <w:rPr>
          <w:rFonts w:ascii="Arial" w:hAnsi="Arial" w:cs="Arial"/>
        </w:rPr>
        <w:t>Onyx will never sell, rent, or share personal data for marketing or commercial purposes.</w:t>
      </w:r>
    </w:p>
    <w:p w14:paraId="7EE30066" w14:textId="1BFAEB4E" w:rsidR="00756266" w:rsidRPr="00756266" w:rsidRDefault="00756266" w:rsidP="00756266">
      <w:pPr>
        <w:rPr>
          <w:rFonts w:ascii="Arial" w:hAnsi="Arial" w:cs="Arial"/>
        </w:rPr>
      </w:pPr>
    </w:p>
    <w:p w14:paraId="65934BF4" w14:textId="77777777" w:rsidR="00756266" w:rsidRPr="00756266" w:rsidRDefault="00756266" w:rsidP="00756266">
      <w:pPr>
        <w:rPr>
          <w:rFonts w:ascii="Arial" w:hAnsi="Arial" w:cs="Arial"/>
          <w:b/>
          <w:bCs/>
        </w:rPr>
      </w:pPr>
      <w:r w:rsidRPr="00756266">
        <w:rPr>
          <w:rFonts w:ascii="Arial" w:hAnsi="Arial" w:cs="Arial"/>
          <w:b/>
          <w:bCs/>
        </w:rPr>
        <w:t>7. Data Retention</w:t>
      </w:r>
    </w:p>
    <w:p w14:paraId="5ED5B611" w14:textId="77777777" w:rsidR="00756266" w:rsidRPr="00756266" w:rsidRDefault="00756266" w:rsidP="00756266">
      <w:pPr>
        <w:rPr>
          <w:rFonts w:ascii="Arial" w:hAnsi="Arial" w:cs="Arial"/>
        </w:rPr>
      </w:pPr>
      <w:r w:rsidRPr="00756266">
        <w:rPr>
          <w:rFonts w:ascii="Arial" w:hAnsi="Arial" w:cs="Arial"/>
        </w:rPr>
        <w:t>Onyx retains student data only for as long as necessary to meet legal, financial, and quality obligations.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9"/>
        <w:gridCol w:w="2743"/>
        <w:gridCol w:w="3454"/>
      </w:tblGrid>
      <w:tr w:rsidR="00756266" w:rsidRPr="00756266" w14:paraId="52617F1B" w14:textId="77777777" w:rsidTr="00E15A3F">
        <w:trPr>
          <w:tblHeader/>
          <w:tblCellSpacing w:w="15" w:type="dxa"/>
        </w:trPr>
        <w:tc>
          <w:tcPr>
            <w:tcW w:w="0" w:type="auto"/>
            <w:vAlign w:val="center"/>
            <w:hideMark/>
          </w:tcPr>
          <w:p w14:paraId="47B68FA1" w14:textId="77777777" w:rsidR="00756266" w:rsidRPr="00756266" w:rsidRDefault="00756266" w:rsidP="00756266">
            <w:pPr>
              <w:rPr>
                <w:rFonts w:ascii="Arial" w:hAnsi="Arial" w:cs="Arial"/>
                <w:b/>
                <w:bCs/>
              </w:rPr>
            </w:pPr>
            <w:r w:rsidRPr="00756266">
              <w:rPr>
                <w:rFonts w:ascii="Arial" w:hAnsi="Arial" w:cs="Arial"/>
                <w:b/>
                <w:bCs/>
              </w:rPr>
              <w:t>Type of Record</w:t>
            </w:r>
          </w:p>
        </w:tc>
        <w:tc>
          <w:tcPr>
            <w:tcW w:w="0" w:type="auto"/>
            <w:vAlign w:val="center"/>
            <w:hideMark/>
          </w:tcPr>
          <w:p w14:paraId="41B0EB14" w14:textId="77777777" w:rsidR="00756266" w:rsidRPr="00756266" w:rsidRDefault="00756266" w:rsidP="00756266">
            <w:pPr>
              <w:rPr>
                <w:rFonts w:ascii="Arial" w:hAnsi="Arial" w:cs="Arial"/>
                <w:b/>
                <w:bCs/>
              </w:rPr>
            </w:pPr>
            <w:r w:rsidRPr="00756266">
              <w:rPr>
                <w:rFonts w:ascii="Arial" w:hAnsi="Arial" w:cs="Arial"/>
                <w:b/>
                <w:bCs/>
              </w:rPr>
              <w:t>Retention Period</w:t>
            </w:r>
          </w:p>
        </w:tc>
        <w:tc>
          <w:tcPr>
            <w:tcW w:w="0" w:type="auto"/>
            <w:vAlign w:val="center"/>
            <w:hideMark/>
          </w:tcPr>
          <w:p w14:paraId="3B374511" w14:textId="77777777" w:rsidR="00756266" w:rsidRPr="00756266" w:rsidRDefault="00756266" w:rsidP="00756266">
            <w:pPr>
              <w:rPr>
                <w:rFonts w:ascii="Arial" w:hAnsi="Arial" w:cs="Arial"/>
                <w:b/>
                <w:bCs/>
              </w:rPr>
            </w:pPr>
            <w:r w:rsidRPr="00756266">
              <w:rPr>
                <w:rFonts w:ascii="Arial" w:hAnsi="Arial" w:cs="Arial"/>
                <w:b/>
                <w:bCs/>
              </w:rPr>
              <w:t>Reason / Legal Basis</w:t>
            </w:r>
          </w:p>
        </w:tc>
      </w:tr>
      <w:tr w:rsidR="00756266" w:rsidRPr="00756266" w14:paraId="2723FC48" w14:textId="77777777" w:rsidTr="00E15A3F">
        <w:trPr>
          <w:tblCellSpacing w:w="15" w:type="dxa"/>
        </w:trPr>
        <w:tc>
          <w:tcPr>
            <w:tcW w:w="0" w:type="auto"/>
            <w:vAlign w:val="center"/>
            <w:hideMark/>
          </w:tcPr>
          <w:p w14:paraId="01561829" w14:textId="77777777" w:rsidR="00756266" w:rsidRPr="00756266" w:rsidRDefault="00756266" w:rsidP="00756266">
            <w:pPr>
              <w:rPr>
                <w:rFonts w:ascii="Arial" w:hAnsi="Arial" w:cs="Arial"/>
              </w:rPr>
            </w:pPr>
            <w:r w:rsidRPr="00756266">
              <w:rPr>
                <w:rFonts w:ascii="Arial" w:hAnsi="Arial" w:cs="Arial"/>
                <w:b/>
                <w:bCs/>
              </w:rPr>
              <w:t>Workplans, DSA2 forms, session notes</w:t>
            </w:r>
          </w:p>
        </w:tc>
        <w:tc>
          <w:tcPr>
            <w:tcW w:w="0" w:type="auto"/>
            <w:vAlign w:val="center"/>
            <w:hideMark/>
          </w:tcPr>
          <w:p w14:paraId="5EE99F34" w14:textId="77777777" w:rsidR="00756266" w:rsidRPr="00756266" w:rsidRDefault="00756266" w:rsidP="00756266">
            <w:pPr>
              <w:rPr>
                <w:rFonts w:ascii="Arial" w:hAnsi="Arial" w:cs="Arial"/>
              </w:rPr>
            </w:pPr>
            <w:r w:rsidRPr="00756266">
              <w:rPr>
                <w:rFonts w:ascii="Arial" w:hAnsi="Arial" w:cs="Arial"/>
                <w:b/>
                <w:bCs/>
              </w:rPr>
              <w:t>2 years</w:t>
            </w:r>
            <w:r w:rsidRPr="00756266">
              <w:rPr>
                <w:rFonts w:ascii="Arial" w:hAnsi="Arial" w:cs="Arial"/>
              </w:rPr>
              <w:t xml:space="preserve"> after the student’s final session or funding end date</w:t>
            </w:r>
          </w:p>
        </w:tc>
        <w:tc>
          <w:tcPr>
            <w:tcW w:w="0" w:type="auto"/>
            <w:vAlign w:val="center"/>
            <w:hideMark/>
          </w:tcPr>
          <w:p w14:paraId="438D8494" w14:textId="77777777" w:rsidR="00756266" w:rsidRPr="00756266" w:rsidRDefault="00756266" w:rsidP="00756266">
            <w:pPr>
              <w:rPr>
                <w:rFonts w:ascii="Arial" w:hAnsi="Arial" w:cs="Arial"/>
              </w:rPr>
            </w:pPr>
            <w:r w:rsidRPr="00756266">
              <w:rPr>
                <w:rFonts w:ascii="Arial" w:hAnsi="Arial" w:cs="Arial"/>
              </w:rPr>
              <w:t>Operational recordkeeping; allows post-support queries to be resolved</w:t>
            </w:r>
          </w:p>
        </w:tc>
      </w:tr>
      <w:tr w:rsidR="00756266" w:rsidRPr="00756266" w14:paraId="1377A791" w14:textId="77777777" w:rsidTr="00E15A3F">
        <w:trPr>
          <w:tblCellSpacing w:w="15" w:type="dxa"/>
        </w:trPr>
        <w:tc>
          <w:tcPr>
            <w:tcW w:w="0" w:type="auto"/>
            <w:vAlign w:val="center"/>
            <w:hideMark/>
          </w:tcPr>
          <w:p w14:paraId="2A9219D1" w14:textId="77777777" w:rsidR="00756266" w:rsidRPr="00756266" w:rsidRDefault="00756266" w:rsidP="00756266">
            <w:pPr>
              <w:rPr>
                <w:rFonts w:ascii="Arial" w:hAnsi="Arial" w:cs="Arial"/>
              </w:rPr>
            </w:pPr>
            <w:r w:rsidRPr="00756266">
              <w:rPr>
                <w:rFonts w:ascii="Arial" w:hAnsi="Arial" w:cs="Arial"/>
                <w:b/>
                <w:bCs/>
              </w:rPr>
              <w:t>Timesheets</w:t>
            </w:r>
          </w:p>
        </w:tc>
        <w:tc>
          <w:tcPr>
            <w:tcW w:w="0" w:type="auto"/>
            <w:vAlign w:val="center"/>
            <w:hideMark/>
          </w:tcPr>
          <w:p w14:paraId="41F54197" w14:textId="77777777" w:rsidR="00756266" w:rsidRPr="00756266" w:rsidRDefault="00756266" w:rsidP="00756266">
            <w:pPr>
              <w:rPr>
                <w:rFonts w:ascii="Arial" w:hAnsi="Arial" w:cs="Arial"/>
              </w:rPr>
            </w:pPr>
            <w:r w:rsidRPr="00756266">
              <w:rPr>
                <w:rFonts w:ascii="Arial" w:hAnsi="Arial" w:cs="Arial"/>
                <w:b/>
                <w:bCs/>
              </w:rPr>
              <w:t>6 years</w:t>
            </w:r>
          </w:p>
        </w:tc>
        <w:tc>
          <w:tcPr>
            <w:tcW w:w="0" w:type="auto"/>
            <w:vAlign w:val="center"/>
            <w:hideMark/>
          </w:tcPr>
          <w:p w14:paraId="78E20F73" w14:textId="77777777" w:rsidR="00756266" w:rsidRPr="00756266" w:rsidRDefault="00756266" w:rsidP="00756266">
            <w:pPr>
              <w:rPr>
                <w:rFonts w:ascii="Arial" w:hAnsi="Arial" w:cs="Arial"/>
              </w:rPr>
            </w:pPr>
            <w:r w:rsidRPr="00756266">
              <w:rPr>
                <w:rFonts w:ascii="Arial" w:hAnsi="Arial" w:cs="Arial"/>
              </w:rPr>
              <w:t>Financial evidence for DSA audit and HMRC compliance</w:t>
            </w:r>
          </w:p>
        </w:tc>
      </w:tr>
      <w:tr w:rsidR="00756266" w:rsidRPr="00756266" w14:paraId="01239CD5" w14:textId="77777777" w:rsidTr="00E15A3F">
        <w:trPr>
          <w:tblCellSpacing w:w="15" w:type="dxa"/>
        </w:trPr>
        <w:tc>
          <w:tcPr>
            <w:tcW w:w="0" w:type="auto"/>
            <w:vAlign w:val="center"/>
            <w:hideMark/>
          </w:tcPr>
          <w:p w14:paraId="706411A8" w14:textId="77777777" w:rsidR="00756266" w:rsidRPr="00756266" w:rsidRDefault="00756266" w:rsidP="00756266">
            <w:pPr>
              <w:rPr>
                <w:rFonts w:ascii="Arial" w:hAnsi="Arial" w:cs="Arial"/>
              </w:rPr>
            </w:pPr>
            <w:r w:rsidRPr="00756266">
              <w:rPr>
                <w:rFonts w:ascii="Arial" w:hAnsi="Arial" w:cs="Arial"/>
                <w:b/>
                <w:bCs/>
              </w:rPr>
              <w:t>Routine correspondence and contact details</w:t>
            </w:r>
          </w:p>
        </w:tc>
        <w:tc>
          <w:tcPr>
            <w:tcW w:w="0" w:type="auto"/>
            <w:vAlign w:val="center"/>
            <w:hideMark/>
          </w:tcPr>
          <w:p w14:paraId="4A064BC6" w14:textId="77777777" w:rsidR="00756266" w:rsidRPr="00756266" w:rsidRDefault="00756266" w:rsidP="00756266">
            <w:pPr>
              <w:rPr>
                <w:rFonts w:ascii="Arial" w:hAnsi="Arial" w:cs="Arial"/>
              </w:rPr>
            </w:pPr>
            <w:r w:rsidRPr="00756266">
              <w:rPr>
                <w:rFonts w:ascii="Arial" w:hAnsi="Arial" w:cs="Arial"/>
                <w:b/>
                <w:bCs/>
              </w:rPr>
              <w:t>1 year</w:t>
            </w:r>
            <w:r w:rsidRPr="00756266">
              <w:rPr>
                <w:rFonts w:ascii="Arial" w:hAnsi="Arial" w:cs="Arial"/>
              </w:rPr>
              <w:t xml:space="preserve"> after support ends</w:t>
            </w:r>
          </w:p>
        </w:tc>
        <w:tc>
          <w:tcPr>
            <w:tcW w:w="0" w:type="auto"/>
            <w:vAlign w:val="center"/>
            <w:hideMark/>
          </w:tcPr>
          <w:p w14:paraId="6E95BA93" w14:textId="77777777" w:rsidR="00756266" w:rsidRPr="00756266" w:rsidRDefault="00756266" w:rsidP="00756266">
            <w:pPr>
              <w:rPr>
                <w:rFonts w:ascii="Arial" w:hAnsi="Arial" w:cs="Arial"/>
              </w:rPr>
            </w:pPr>
            <w:r w:rsidRPr="00756266">
              <w:rPr>
                <w:rFonts w:ascii="Arial" w:hAnsi="Arial" w:cs="Arial"/>
              </w:rPr>
              <w:t>Communication closure and data minimisation</w:t>
            </w:r>
          </w:p>
        </w:tc>
      </w:tr>
      <w:tr w:rsidR="00756266" w:rsidRPr="00756266" w14:paraId="0F66ACBB" w14:textId="77777777" w:rsidTr="00E15A3F">
        <w:trPr>
          <w:tblCellSpacing w:w="15" w:type="dxa"/>
        </w:trPr>
        <w:tc>
          <w:tcPr>
            <w:tcW w:w="0" w:type="auto"/>
            <w:vAlign w:val="center"/>
            <w:hideMark/>
          </w:tcPr>
          <w:p w14:paraId="4E443B92" w14:textId="77777777" w:rsidR="00756266" w:rsidRPr="00756266" w:rsidRDefault="00756266" w:rsidP="00756266">
            <w:pPr>
              <w:rPr>
                <w:rFonts w:ascii="Arial" w:hAnsi="Arial" w:cs="Arial"/>
              </w:rPr>
            </w:pPr>
            <w:r w:rsidRPr="00756266">
              <w:rPr>
                <w:rFonts w:ascii="Arial" w:hAnsi="Arial" w:cs="Arial"/>
                <w:b/>
                <w:bCs/>
              </w:rPr>
              <w:t>Safeguarding or incident reports</w:t>
            </w:r>
          </w:p>
        </w:tc>
        <w:tc>
          <w:tcPr>
            <w:tcW w:w="0" w:type="auto"/>
            <w:vAlign w:val="center"/>
            <w:hideMark/>
          </w:tcPr>
          <w:p w14:paraId="2AAE1F9E" w14:textId="77777777" w:rsidR="00756266" w:rsidRPr="00756266" w:rsidRDefault="00756266" w:rsidP="00756266">
            <w:pPr>
              <w:rPr>
                <w:rFonts w:ascii="Arial" w:hAnsi="Arial" w:cs="Arial"/>
              </w:rPr>
            </w:pPr>
            <w:r w:rsidRPr="00756266">
              <w:rPr>
                <w:rFonts w:ascii="Arial" w:hAnsi="Arial" w:cs="Arial"/>
              </w:rPr>
              <w:t>As required by law (typically up to 6 years)</w:t>
            </w:r>
          </w:p>
        </w:tc>
        <w:tc>
          <w:tcPr>
            <w:tcW w:w="0" w:type="auto"/>
            <w:vAlign w:val="center"/>
            <w:hideMark/>
          </w:tcPr>
          <w:p w14:paraId="74FFAB97" w14:textId="77777777" w:rsidR="00756266" w:rsidRPr="00756266" w:rsidRDefault="00756266" w:rsidP="00756266">
            <w:pPr>
              <w:rPr>
                <w:rFonts w:ascii="Arial" w:hAnsi="Arial" w:cs="Arial"/>
              </w:rPr>
            </w:pPr>
            <w:r w:rsidRPr="00756266">
              <w:rPr>
                <w:rFonts w:ascii="Arial" w:hAnsi="Arial" w:cs="Arial"/>
              </w:rPr>
              <w:t>Legal and regulatory compliance</w:t>
            </w:r>
          </w:p>
        </w:tc>
      </w:tr>
      <w:tr w:rsidR="00756266" w:rsidRPr="00756266" w14:paraId="511066F2" w14:textId="77777777" w:rsidTr="00E15A3F">
        <w:trPr>
          <w:tblCellSpacing w:w="15" w:type="dxa"/>
        </w:trPr>
        <w:tc>
          <w:tcPr>
            <w:tcW w:w="0" w:type="auto"/>
            <w:vAlign w:val="center"/>
            <w:hideMark/>
          </w:tcPr>
          <w:p w14:paraId="70FD328F" w14:textId="77777777" w:rsidR="00756266" w:rsidRPr="00756266" w:rsidRDefault="00756266" w:rsidP="00756266">
            <w:pPr>
              <w:rPr>
                <w:rFonts w:ascii="Arial" w:hAnsi="Arial" w:cs="Arial"/>
              </w:rPr>
            </w:pPr>
            <w:r w:rsidRPr="00756266">
              <w:rPr>
                <w:rFonts w:ascii="Arial" w:hAnsi="Arial" w:cs="Arial"/>
                <w:b/>
                <w:bCs/>
              </w:rPr>
              <w:t>Anonymised records (statistics, KPIs)</w:t>
            </w:r>
          </w:p>
        </w:tc>
        <w:tc>
          <w:tcPr>
            <w:tcW w:w="0" w:type="auto"/>
            <w:vAlign w:val="center"/>
            <w:hideMark/>
          </w:tcPr>
          <w:p w14:paraId="3C8993BB" w14:textId="77777777" w:rsidR="00756266" w:rsidRPr="00756266" w:rsidRDefault="00756266" w:rsidP="00756266">
            <w:pPr>
              <w:rPr>
                <w:rFonts w:ascii="Arial" w:hAnsi="Arial" w:cs="Arial"/>
              </w:rPr>
            </w:pPr>
            <w:r w:rsidRPr="00756266">
              <w:rPr>
                <w:rFonts w:ascii="Arial" w:hAnsi="Arial" w:cs="Arial"/>
              </w:rPr>
              <w:t>Indefinite</w:t>
            </w:r>
          </w:p>
        </w:tc>
        <w:tc>
          <w:tcPr>
            <w:tcW w:w="0" w:type="auto"/>
            <w:vAlign w:val="center"/>
            <w:hideMark/>
          </w:tcPr>
          <w:p w14:paraId="04F54979" w14:textId="77777777" w:rsidR="00756266" w:rsidRPr="00756266" w:rsidRDefault="00756266" w:rsidP="00756266">
            <w:pPr>
              <w:rPr>
                <w:rFonts w:ascii="Arial" w:hAnsi="Arial" w:cs="Arial"/>
              </w:rPr>
            </w:pPr>
            <w:r w:rsidRPr="00756266">
              <w:rPr>
                <w:rFonts w:ascii="Arial" w:hAnsi="Arial" w:cs="Arial"/>
              </w:rPr>
              <w:t>Non-personal data retained for quality assurance</w:t>
            </w:r>
          </w:p>
        </w:tc>
      </w:tr>
    </w:tbl>
    <w:p w14:paraId="7D4A3065" w14:textId="77777777" w:rsidR="00756266" w:rsidRPr="00756266" w:rsidRDefault="00756266" w:rsidP="00756266">
      <w:pPr>
        <w:rPr>
          <w:rFonts w:ascii="Arial" w:hAnsi="Arial" w:cs="Arial"/>
        </w:rPr>
      </w:pPr>
      <w:r w:rsidRPr="00756266">
        <w:rPr>
          <w:rFonts w:ascii="Arial" w:hAnsi="Arial" w:cs="Arial"/>
        </w:rPr>
        <w:t xml:space="preserve">After these retention periods, all data is securely deleted or anonymised following the </w:t>
      </w:r>
      <w:r w:rsidRPr="00756266">
        <w:rPr>
          <w:rFonts w:ascii="Arial" w:hAnsi="Arial" w:cs="Arial"/>
          <w:i/>
          <w:iCs/>
        </w:rPr>
        <w:t>Onyx Student Data Deletion Process (2025)</w:t>
      </w:r>
      <w:r w:rsidRPr="00756266">
        <w:rPr>
          <w:rFonts w:ascii="Arial" w:hAnsi="Arial" w:cs="Arial"/>
        </w:rPr>
        <w:t>.</w:t>
      </w:r>
    </w:p>
    <w:p w14:paraId="222F94C5" w14:textId="54C3734A" w:rsidR="00756266" w:rsidRPr="00756266" w:rsidRDefault="00756266" w:rsidP="00756266">
      <w:pPr>
        <w:rPr>
          <w:rFonts w:ascii="Arial" w:hAnsi="Arial" w:cs="Arial"/>
        </w:rPr>
      </w:pPr>
    </w:p>
    <w:p w14:paraId="166B09A2" w14:textId="77777777" w:rsidR="00756266" w:rsidRPr="00756266" w:rsidRDefault="00756266" w:rsidP="00756266">
      <w:pPr>
        <w:rPr>
          <w:rFonts w:ascii="Arial" w:hAnsi="Arial" w:cs="Arial"/>
          <w:b/>
          <w:bCs/>
        </w:rPr>
      </w:pPr>
      <w:r w:rsidRPr="00756266">
        <w:rPr>
          <w:rFonts w:ascii="Arial" w:hAnsi="Arial" w:cs="Arial"/>
          <w:b/>
          <w:bCs/>
        </w:rPr>
        <w:t>8. How We Protect Data</w:t>
      </w:r>
    </w:p>
    <w:p w14:paraId="235D4AF1" w14:textId="77777777" w:rsidR="00756266" w:rsidRPr="00756266" w:rsidRDefault="00756266" w:rsidP="00756266">
      <w:pPr>
        <w:numPr>
          <w:ilvl w:val="0"/>
          <w:numId w:val="3"/>
        </w:numPr>
        <w:rPr>
          <w:rFonts w:ascii="Arial" w:hAnsi="Arial" w:cs="Arial"/>
        </w:rPr>
      </w:pPr>
      <w:r w:rsidRPr="00756266">
        <w:rPr>
          <w:rFonts w:ascii="Arial" w:hAnsi="Arial" w:cs="Arial"/>
        </w:rPr>
        <w:t>Student data is stored securely on encrypted, password-protected systems.</w:t>
      </w:r>
    </w:p>
    <w:p w14:paraId="4D10D724" w14:textId="77777777" w:rsidR="00756266" w:rsidRPr="00756266" w:rsidRDefault="00756266" w:rsidP="00756266">
      <w:pPr>
        <w:numPr>
          <w:ilvl w:val="0"/>
          <w:numId w:val="3"/>
        </w:numPr>
        <w:rPr>
          <w:rFonts w:ascii="Arial" w:hAnsi="Arial" w:cs="Arial"/>
        </w:rPr>
      </w:pPr>
      <w:r w:rsidRPr="00756266">
        <w:rPr>
          <w:rFonts w:ascii="Arial" w:hAnsi="Arial" w:cs="Arial"/>
        </w:rPr>
        <w:t>Access is strictly limited to authorised personnel.</w:t>
      </w:r>
    </w:p>
    <w:p w14:paraId="1A1A66E2" w14:textId="77777777" w:rsidR="00756266" w:rsidRPr="00756266" w:rsidRDefault="00756266" w:rsidP="00756266">
      <w:pPr>
        <w:numPr>
          <w:ilvl w:val="0"/>
          <w:numId w:val="3"/>
        </w:numPr>
        <w:rPr>
          <w:rFonts w:ascii="Arial" w:hAnsi="Arial" w:cs="Arial"/>
        </w:rPr>
      </w:pPr>
      <w:r w:rsidRPr="00756266">
        <w:rPr>
          <w:rFonts w:ascii="Arial" w:hAnsi="Arial" w:cs="Arial"/>
        </w:rPr>
        <w:t>Emails containing personal data are marked “Confidential” and transmitted securely.</w:t>
      </w:r>
    </w:p>
    <w:p w14:paraId="01E9A7AC" w14:textId="77777777" w:rsidR="00756266" w:rsidRPr="00756266" w:rsidRDefault="00756266" w:rsidP="00756266">
      <w:pPr>
        <w:numPr>
          <w:ilvl w:val="0"/>
          <w:numId w:val="3"/>
        </w:numPr>
        <w:rPr>
          <w:rFonts w:ascii="Arial" w:hAnsi="Arial" w:cs="Arial"/>
        </w:rPr>
      </w:pPr>
      <w:r w:rsidRPr="00756266">
        <w:rPr>
          <w:rFonts w:ascii="Arial" w:hAnsi="Arial" w:cs="Arial"/>
        </w:rPr>
        <w:t>Freelancers must store and handle student data according to Onyx’s Freelancer Data Protection &amp; Confidentiality Addendum (DPOF-001).</w:t>
      </w:r>
    </w:p>
    <w:p w14:paraId="7BD23478" w14:textId="77777777" w:rsidR="00756266" w:rsidRPr="00756266" w:rsidRDefault="00756266" w:rsidP="00756266">
      <w:pPr>
        <w:numPr>
          <w:ilvl w:val="0"/>
          <w:numId w:val="3"/>
        </w:numPr>
        <w:rPr>
          <w:rFonts w:ascii="Arial" w:hAnsi="Arial" w:cs="Arial"/>
        </w:rPr>
      </w:pPr>
      <w:r w:rsidRPr="00756266">
        <w:rPr>
          <w:rFonts w:ascii="Arial" w:hAnsi="Arial" w:cs="Arial"/>
        </w:rPr>
        <w:t>Onyx ensures that data transferred to freelancers is deleted from their systems upon completion of support.</w:t>
      </w:r>
    </w:p>
    <w:p w14:paraId="4A33C845" w14:textId="692AC49B" w:rsidR="00756266" w:rsidRPr="00756266" w:rsidRDefault="00756266" w:rsidP="00756266">
      <w:pPr>
        <w:rPr>
          <w:rFonts w:ascii="Arial" w:hAnsi="Arial" w:cs="Arial"/>
        </w:rPr>
      </w:pPr>
    </w:p>
    <w:p w14:paraId="3F96E665" w14:textId="77777777" w:rsidR="00756266" w:rsidRPr="00756266" w:rsidRDefault="00756266" w:rsidP="00756266">
      <w:pPr>
        <w:rPr>
          <w:rFonts w:ascii="Arial" w:hAnsi="Arial" w:cs="Arial"/>
          <w:b/>
          <w:bCs/>
        </w:rPr>
      </w:pPr>
      <w:r w:rsidRPr="00756266">
        <w:rPr>
          <w:rFonts w:ascii="Arial" w:hAnsi="Arial" w:cs="Arial"/>
          <w:b/>
          <w:bCs/>
        </w:rPr>
        <w:t>9. Your Rights</w:t>
      </w:r>
    </w:p>
    <w:p w14:paraId="1B1176AD" w14:textId="77777777" w:rsidR="00756266" w:rsidRPr="00756266" w:rsidRDefault="00756266" w:rsidP="00756266">
      <w:pPr>
        <w:rPr>
          <w:rFonts w:ascii="Arial" w:hAnsi="Arial" w:cs="Arial"/>
        </w:rPr>
      </w:pPr>
      <w:r w:rsidRPr="00756266">
        <w:rPr>
          <w:rFonts w:ascii="Arial" w:hAnsi="Arial" w:cs="Arial"/>
        </w:rPr>
        <w:t>Under the UK GDPR, students have the right to:</w:t>
      </w:r>
    </w:p>
    <w:p w14:paraId="0802975A" w14:textId="77777777" w:rsidR="00756266" w:rsidRPr="00756266" w:rsidRDefault="00756266" w:rsidP="00756266">
      <w:pPr>
        <w:numPr>
          <w:ilvl w:val="0"/>
          <w:numId w:val="4"/>
        </w:numPr>
        <w:rPr>
          <w:rFonts w:ascii="Arial" w:hAnsi="Arial" w:cs="Arial"/>
        </w:rPr>
      </w:pPr>
      <w:r w:rsidRPr="00756266">
        <w:rPr>
          <w:rFonts w:ascii="Arial" w:hAnsi="Arial" w:cs="Arial"/>
        </w:rPr>
        <w:t>Access a copy of their personal data held by Onyx.</w:t>
      </w:r>
    </w:p>
    <w:p w14:paraId="66751CA1" w14:textId="77777777" w:rsidR="00756266" w:rsidRPr="00756266" w:rsidRDefault="00756266" w:rsidP="00756266">
      <w:pPr>
        <w:numPr>
          <w:ilvl w:val="0"/>
          <w:numId w:val="4"/>
        </w:numPr>
        <w:rPr>
          <w:rFonts w:ascii="Arial" w:hAnsi="Arial" w:cs="Arial"/>
        </w:rPr>
      </w:pPr>
      <w:r w:rsidRPr="00756266">
        <w:rPr>
          <w:rFonts w:ascii="Arial" w:hAnsi="Arial" w:cs="Arial"/>
        </w:rPr>
        <w:t>Request correction or deletion of inaccurate or unnecessary data.</w:t>
      </w:r>
    </w:p>
    <w:p w14:paraId="35D82A86" w14:textId="77777777" w:rsidR="00756266" w:rsidRPr="00756266" w:rsidRDefault="00756266" w:rsidP="00756266">
      <w:pPr>
        <w:numPr>
          <w:ilvl w:val="0"/>
          <w:numId w:val="4"/>
        </w:numPr>
        <w:rPr>
          <w:rFonts w:ascii="Arial" w:hAnsi="Arial" w:cs="Arial"/>
        </w:rPr>
      </w:pPr>
      <w:r w:rsidRPr="00756266">
        <w:rPr>
          <w:rFonts w:ascii="Arial" w:hAnsi="Arial" w:cs="Arial"/>
        </w:rPr>
        <w:t>Request restriction or object to processing in specific circumstances.</w:t>
      </w:r>
    </w:p>
    <w:p w14:paraId="40E42EF2" w14:textId="77777777" w:rsidR="00756266" w:rsidRPr="00756266" w:rsidRDefault="00756266" w:rsidP="00756266">
      <w:pPr>
        <w:numPr>
          <w:ilvl w:val="0"/>
          <w:numId w:val="4"/>
        </w:numPr>
        <w:rPr>
          <w:rFonts w:ascii="Arial" w:hAnsi="Arial" w:cs="Arial"/>
        </w:rPr>
      </w:pPr>
      <w:r w:rsidRPr="00756266">
        <w:rPr>
          <w:rFonts w:ascii="Arial" w:hAnsi="Arial" w:cs="Arial"/>
        </w:rPr>
        <w:lastRenderedPageBreak/>
        <w:t>Withdraw consent for optional sharing (e.g., with auditors).</w:t>
      </w:r>
    </w:p>
    <w:p w14:paraId="0CE9D2B5" w14:textId="77777777" w:rsidR="00756266" w:rsidRPr="00756266" w:rsidRDefault="00756266" w:rsidP="00756266">
      <w:pPr>
        <w:numPr>
          <w:ilvl w:val="0"/>
          <w:numId w:val="4"/>
        </w:numPr>
        <w:rPr>
          <w:rFonts w:ascii="Arial" w:hAnsi="Arial" w:cs="Arial"/>
        </w:rPr>
      </w:pPr>
      <w:r w:rsidRPr="00756266">
        <w:rPr>
          <w:rFonts w:ascii="Arial" w:hAnsi="Arial" w:cs="Arial"/>
        </w:rPr>
        <w:t>Complain to the Information Commissioner’s Office (ICO) if concerns remain unresolved.</w:t>
      </w:r>
    </w:p>
    <w:p w14:paraId="0145269A" w14:textId="4BD06F33" w:rsidR="00756266" w:rsidRPr="00756266" w:rsidRDefault="00756266" w:rsidP="00756266">
      <w:pPr>
        <w:rPr>
          <w:rFonts w:ascii="Arial" w:hAnsi="Arial" w:cs="Arial"/>
        </w:rPr>
      </w:pPr>
      <w:r w:rsidRPr="00756266">
        <w:rPr>
          <w:rFonts w:ascii="Arial" w:hAnsi="Arial" w:cs="Arial"/>
          <w:b/>
          <w:bCs/>
        </w:rPr>
        <w:t>Information Commissioner’s Office</w:t>
      </w:r>
      <w:r w:rsidRPr="00756266">
        <w:rPr>
          <w:rFonts w:ascii="Arial" w:hAnsi="Arial" w:cs="Arial"/>
        </w:rPr>
        <w:br/>
        <w:t>Wycliffe House, Water Lane, Wilmslow, Cheshire, SK9 5AF</w:t>
      </w:r>
      <w:r w:rsidRPr="00756266">
        <w:rPr>
          <w:rFonts w:ascii="Arial" w:hAnsi="Arial" w:cs="Arial"/>
        </w:rPr>
        <w:br/>
        <w:t>www.ico.org.uk</w:t>
      </w:r>
    </w:p>
    <w:p w14:paraId="54E681F0" w14:textId="1646DB2F" w:rsidR="00756266" w:rsidRPr="00756266" w:rsidRDefault="00756266" w:rsidP="00756266">
      <w:pPr>
        <w:rPr>
          <w:rFonts w:ascii="Arial" w:hAnsi="Arial" w:cs="Arial"/>
        </w:rPr>
      </w:pPr>
    </w:p>
    <w:p w14:paraId="2A13C389" w14:textId="77777777" w:rsidR="00756266" w:rsidRPr="00756266" w:rsidRDefault="00756266" w:rsidP="00756266">
      <w:pPr>
        <w:rPr>
          <w:rFonts w:ascii="Arial" w:hAnsi="Arial" w:cs="Arial"/>
          <w:b/>
          <w:bCs/>
        </w:rPr>
      </w:pPr>
      <w:r w:rsidRPr="00756266">
        <w:rPr>
          <w:rFonts w:ascii="Arial" w:hAnsi="Arial" w:cs="Arial"/>
          <w:b/>
          <w:bCs/>
        </w:rPr>
        <w:t>10. Contact Details</w:t>
      </w:r>
    </w:p>
    <w:p w14:paraId="53411A90" w14:textId="1CE013E6" w:rsidR="00756266" w:rsidRPr="00756266" w:rsidRDefault="00756266" w:rsidP="00756266">
      <w:pPr>
        <w:rPr>
          <w:rFonts w:ascii="Arial" w:hAnsi="Arial" w:cs="Arial"/>
        </w:rPr>
      </w:pPr>
      <w:r w:rsidRPr="00756266">
        <w:rPr>
          <w:rFonts w:ascii="Arial" w:hAnsi="Arial" w:cs="Arial"/>
          <w:b/>
          <w:bCs/>
        </w:rPr>
        <w:t>Data Protection Officer (DPO):</w:t>
      </w:r>
      <w:r w:rsidRPr="00756266">
        <w:rPr>
          <w:rFonts w:ascii="Arial" w:hAnsi="Arial" w:cs="Arial"/>
        </w:rPr>
        <w:t xml:space="preserve"> Jane Pickering</w:t>
      </w:r>
      <w:r w:rsidRPr="00756266">
        <w:rPr>
          <w:rFonts w:ascii="Arial" w:hAnsi="Arial" w:cs="Arial"/>
        </w:rPr>
        <w:br/>
      </w:r>
      <w:r w:rsidR="00E15A3F">
        <w:rPr>
          <w:rFonts w:ascii="Arial" w:hAnsi="Arial" w:cs="Arial"/>
        </w:rPr>
        <w:t xml:space="preserve">Email: </w:t>
      </w:r>
      <w:r w:rsidRPr="00756266">
        <w:rPr>
          <w:rFonts w:ascii="Arial" w:hAnsi="Arial" w:cs="Arial"/>
        </w:rPr>
        <w:t>datagovernance@onyxstudents.com</w:t>
      </w:r>
      <w:r w:rsidRPr="00756266">
        <w:rPr>
          <w:rFonts w:ascii="Arial" w:hAnsi="Arial" w:cs="Arial"/>
        </w:rPr>
        <w:t> </w:t>
      </w:r>
      <w:r w:rsidR="00E15A3F">
        <w:rPr>
          <w:rFonts w:ascii="Segoe UI Emoji" w:hAnsi="Segoe UI Emoji" w:cs="Segoe UI Emoji"/>
        </w:rPr>
        <w:t xml:space="preserve">Telephone: </w:t>
      </w:r>
      <w:r w:rsidR="00DD0255">
        <w:rPr>
          <w:rFonts w:ascii="Arial" w:hAnsi="Arial" w:cs="Arial"/>
        </w:rPr>
        <w:t>01604 713103</w:t>
      </w:r>
    </w:p>
    <w:p w14:paraId="03A4DE35" w14:textId="5AA8F0C9" w:rsidR="00756266" w:rsidRPr="00756266" w:rsidRDefault="00756266" w:rsidP="00756266">
      <w:pPr>
        <w:rPr>
          <w:rFonts w:ascii="Arial" w:hAnsi="Arial" w:cs="Arial"/>
        </w:rPr>
      </w:pPr>
      <w:r w:rsidRPr="00756266">
        <w:rPr>
          <w:rFonts w:ascii="Arial" w:hAnsi="Arial" w:cs="Arial"/>
          <w:b/>
          <w:bCs/>
        </w:rPr>
        <w:t>Postal Address:</w:t>
      </w:r>
      <w:r w:rsidRPr="00756266">
        <w:rPr>
          <w:rFonts w:ascii="Arial" w:hAnsi="Arial" w:cs="Arial"/>
        </w:rPr>
        <w:br/>
        <w:t>Onyx Student Support Ltd</w:t>
      </w:r>
      <w:r w:rsidRPr="00756266">
        <w:rPr>
          <w:rFonts w:ascii="Arial" w:hAnsi="Arial" w:cs="Arial"/>
        </w:rPr>
        <w:br/>
      </w:r>
      <w:r w:rsidR="00E15A3F">
        <w:rPr>
          <w:rFonts w:ascii="Arial" w:hAnsi="Arial" w:cs="Arial"/>
        </w:rPr>
        <w:t xml:space="preserve">2 </w:t>
      </w:r>
      <w:proofErr w:type="spellStart"/>
      <w:r w:rsidR="00E15A3F">
        <w:rPr>
          <w:rFonts w:ascii="Arial" w:hAnsi="Arial" w:cs="Arial"/>
        </w:rPr>
        <w:t>Demswell</w:t>
      </w:r>
      <w:proofErr w:type="spellEnd"/>
      <w:r w:rsidR="00E15A3F">
        <w:rPr>
          <w:rFonts w:ascii="Arial" w:hAnsi="Arial" w:cs="Arial"/>
        </w:rPr>
        <w:t>, Brixworth, Northamptonshire, NN6 9BL.</w:t>
      </w:r>
    </w:p>
    <w:p w14:paraId="66ED4D33" w14:textId="375363E1" w:rsidR="00756266" w:rsidRPr="00756266" w:rsidRDefault="00756266" w:rsidP="00756266">
      <w:pPr>
        <w:rPr>
          <w:rFonts w:ascii="Arial" w:hAnsi="Arial" w:cs="Arial"/>
        </w:rPr>
      </w:pPr>
    </w:p>
    <w:p w14:paraId="38B79557" w14:textId="77777777" w:rsidR="00756266" w:rsidRPr="00756266" w:rsidRDefault="00756266" w:rsidP="00756266">
      <w:pPr>
        <w:rPr>
          <w:rFonts w:ascii="Arial" w:hAnsi="Arial" w:cs="Arial"/>
          <w:b/>
          <w:bCs/>
        </w:rPr>
      </w:pPr>
      <w:r w:rsidRPr="00756266">
        <w:rPr>
          <w:rFonts w:ascii="Arial" w:hAnsi="Arial" w:cs="Arial"/>
          <w:b/>
          <w:bCs/>
        </w:rPr>
        <w:t>11. Review</w:t>
      </w:r>
    </w:p>
    <w:p w14:paraId="75E8EF16" w14:textId="77777777" w:rsidR="00756266" w:rsidRPr="00756266" w:rsidRDefault="00756266" w:rsidP="00756266">
      <w:pPr>
        <w:rPr>
          <w:rFonts w:ascii="Arial" w:hAnsi="Arial" w:cs="Arial"/>
        </w:rPr>
      </w:pPr>
      <w:r w:rsidRPr="00756266">
        <w:rPr>
          <w:rFonts w:ascii="Arial" w:hAnsi="Arial" w:cs="Arial"/>
        </w:rPr>
        <w:t>This Privacy Notice will be reviewed annually or sooner if legislation, funding, or operational processes change.</w:t>
      </w:r>
    </w:p>
    <w:p w14:paraId="3FE3B57B" w14:textId="328C8160" w:rsidR="001715C6" w:rsidRPr="00E15A3F" w:rsidRDefault="00756266">
      <w:pPr>
        <w:rPr>
          <w:rFonts w:ascii="Arial" w:hAnsi="Arial" w:cs="Arial"/>
        </w:rPr>
      </w:pPr>
      <w:r w:rsidRPr="00756266">
        <w:rPr>
          <w:rFonts w:ascii="Arial" w:hAnsi="Arial" w:cs="Arial"/>
          <w:b/>
          <w:bCs/>
        </w:rPr>
        <w:t>Approved by:</w:t>
      </w:r>
      <w:r w:rsidRPr="00756266">
        <w:rPr>
          <w:rFonts w:ascii="Arial" w:hAnsi="Arial" w:cs="Arial"/>
        </w:rPr>
        <w:t xml:space="preserve"> </w:t>
      </w:r>
      <w:r w:rsidR="00E15A3F">
        <w:rPr>
          <w:rFonts w:ascii="Arial" w:hAnsi="Arial" w:cs="Arial"/>
        </w:rPr>
        <w:t xml:space="preserve">Angela Sargeant </w:t>
      </w:r>
      <w:r w:rsidRPr="00756266">
        <w:rPr>
          <w:rFonts w:ascii="Arial" w:hAnsi="Arial" w:cs="Arial"/>
        </w:rPr>
        <w:br/>
      </w:r>
      <w:r w:rsidRPr="00756266">
        <w:rPr>
          <w:rFonts w:ascii="Arial" w:hAnsi="Arial" w:cs="Arial"/>
          <w:b/>
          <w:bCs/>
        </w:rPr>
        <w:t>Date:</w:t>
      </w:r>
      <w:r w:rsidRPr="00756266">
        <w:rPr>
          <w:rFonts w:ascii="Arial" w:hAnsi="Arial" w:cs="Arial"/>
        </w:rPr>
        <w:t xml:space="preserve"> </w:t>
      </w:r>
      <w:r w:rsidR="00E15A3F">
        <w:rPr>
          <w:rFonts w:ascii="Arial" w:hAnsi="Arial" w:cs="Arial"/>
        </w:rPr>
        <w:t xml:space="preserve"> 12/11/2025</w:t>
      </w:r>
      <w:r w:rsidRPr="00756266">
        <w:rPr>
          <w:rFonts w:ascii="Arial" w:hAnsi="Arial" w:cs="Arial"/>
        </w:rPr>
        <w:br/>
      </w:r>
    </w:p>
    <w:sectPr w:rsidR="001715C6" w:rsidRPr="00E15A3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0B22" w14:textId="77777777" w:rsidR="00E664E4" w:rsidRDefault="00E664E4" w:rsidP="00756266">
      <w:pPr>
        <w:spacing w:after="0" w:line="240" w:lineRule="auto"/>
      </w:pPr>
      <w:r>
        <w:separator/>
      </w:r>
    </w:p>
  </w:endnote>
  <w:endnote w:type="continuationSeparator" w:id="0">
    <w:p w14:paraId="725DF1BE" w14:textId="77777777" w:rsidR="00E664E4" w:rsidRDefault="00E664E4" w:rsidP="0075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2B9C" w14:textId="77777777" w:rsidR="000B7BDF" w:rsidRPr="00540744" w:rsidRDefault="000B7BDF" w:rsidP="000B7BDF">
    <w:pPr>
      <w:pStyle w:val="Footer"/>
      <w:jc w:val="center"/>
      <w:rPr>
        <w:rFonts w:ascii="Calibri" w:eastAsia="Calibri" w:hAnsi="Calibri" w:cs="Calibri"/>
        <w:sz w:val="20"/>
        <w:szCs w:val="20"/>
        <w:lang w:eastAsia="en-GB"/>
      </w:rPr>
    </w:pPr>
    <w:r w:rsidRPr="00540744">
      <w:rPr>
        <w:rFonts w:ascii="Calibri" w:eastAsia="Calibri" w:hAnsi="Calibri" w:cs="Calibri"/>
        <w:sz w:val="20"/>
        <w:szCs w:val="20"/>
        <w:lang w:eastAsia="en-GB"/>
      </w:rPr>
      <w:t>Onyx Students Support Ltd is a company registered in England and Wales with company number 14244398</w:t>
    </w:r>
  </w:p>
  <w:p w14:paraId="2A6ECB20" w14:textId="77777777" w:rsidR="000B7BDF" w:rsidRPr="00540744" w:rsidRDefault="000B7BDF" w:rsidP="000B7BDF">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20"/>
        <w:szCs w:val="20"/>
        <w:lang w:eastAsia="en-GB"/>
      </w:rPr>
    </w:pPr>
    <w:r>
      <w:rPr>
        <w:rFonts w:ascii="Calibri" w:eastAsia="Calibri" w:hAnsi="Calibri" w:cs="Calibri"/>
        <w:color w:val="000000"/>
        <w:sz w:val="20"/>
        <w:szCs w:val="20"/>
        <w:lang w:eastAsia="en-GB"/>
      </w:rPr>
      <w:t xml:space="preserve">2 </w:t>
    </w:r>
    <w:proofErr w:type="spellStart"/>
    <w:r>
      <w:rPr>
        <w:rFonts w:ascii="Calibri" w:eastAsia="Calibri" w:hAnsi="Calibri" w:cs="Calibri"/>
        <w:color w:val="000000"/>
        <w:sz w:val="20"/>
        <w:szCs w:val="20"/>
        <w:lang w:eastAsia="en-GB"/>
      </w:rPr>
      <w:t>Demswell</w:t>
    </w:r>
    <w:proofErr w:type="spellEnd"/>
    <w:r>
      <w:rPr>
        <w:rFonts w:ascii="Calibri" w:eastAsia="Calibri" w:hAnsi="Calibri" w:cs="Calibri"/>
        <w:color w:val="000000"/>
        <w:sz w:val="20"/>
        <w:szCs w:val="20"/>
        <w:lang w:eastAsia="en-GB"/>
      </w:rPr>
      <w:t>, Brixworth, Northamptonshire, NN6 9BL</w:t>
    </w:r>
    <w:r w:rsidRPr="00540744">
      <w:rPr>
        <w:rFonts w:ascii="Calibri" w:eastAsia="Calibri" w:hAnsi="Calibri" w:cs="Calibri"/>
        <w:color w:val="000000"/>
        <w:sz w:val="20"/>
        <w:szCs w:val="20"/>
        <w:lang w:eastAsia="en-GB"/>
      </w:rPr>
      <w:t xml:space="preserve"> – Telephone number 01604 713103 – Email </w:t>
    </w:r>
    <w:hyperlink r:id="rId1" w:history="1">
      <w:r w:rsidRPr="00540744">
        <w:rPr>
          <w:rFonts w:ascii="Calibri" w:eastAsia="Calibri" w:hAnsi="Calibri" w:cs="Calibri"/>
          <w:color w:val="0563C1" w:themeColor="hyperlink"/>
          <w:sz w:val="20"/>
          <w:szCs w:val="20"/>
          <w:u w:val="single"/>
          <w:lang w:eastAsia="en-GB"/>
        </w:rPr>
        <w:t>admin@onyxsupport.com</w:t>
      </w:r>
    </w:hyperlink>
    <w:r w:rsidRPr="00540744">
      <w:rPr>
        <w:rFonts w:ascii="Calibri" w:eastAsia="Calibri" w:hAnsi="Calibri" w:cs="Calibri"/>
        <w:color w:val="000000"/>
        <w:sz w:val="20"/>
        <w:szCs w:val="20"/>
        <w:lang w:eastAsia="en-GB"/>
      </w:rPr>
      <w:t xml:space="preserve"> – website </w:t>
    </w:r>
    <w:hyperlink r:id="rId2" w:history="1">
      <w:r w:rsidRPr="00540744">
        <w:rPr>
          <w:rFonts w:ascii="Calibri" w:eastAsia="Calibri" w:hAnsi="Calibri" w:cs="Calibri"/>
          <w:color w:val="0563C1" w:themeColor="hyperlink"/>
          <w:sz w:val="20"/>
          <w:szCs w:val="20"/>
          <w:u w:val="single"/>
          <w:lang w:eastAsia="en-GB"/>
        </w:rPr>
        <w:t>www.onyxstudents.com</w:t>
      </w:r>
    </w:hyperlink>
  </w:p>
  <w:p w14:paraId="65E5998A" w14:textId="77777777" w:rsidR="00E15A3F" w:rsidRDefault="00E15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5221" w14:textId="77777777" w:rsidR="00E664E4" w:rsidRDefault="00E664E4" w:rsidP="00756266">
      <w:pPr>
        <w:spacing w:after="0" w:line="240" w:lineRule="auto"/>
      </w:pPr>
      <w:r>
        <w:separator/>
      </w:r>
    </w:p>
  </w:footnote>
  <w:footnote w:type="continuationSeparator" w:id="0">
    <w:p w14:paraId="19410A92" w14:textId="77777777" w:rsidR="00E664E4" w:rsidRDefault="00E664E4" w:rsidP="0075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57BA" w14:textId="7E39AA08" w:rsidR="00756266" w:rsidRDefault="00756266">
    <w:pPr>
      <w:pStyle w:val="Header"/>
    </w:pPr>
    <w:r>
      <w:rPr>
        <w:noProof/>
      </w:rPr>
      <w:drawing>
        <wp:inline distT="0" distB="0" distL="0" distR="0" wp14:anchorId="5160CDDB" wp14:editId="17685E36">
          <wp:extent cx="865999" cy="647700"/>
          <wp:effectExtent l="0" t="0" r="0" b="0"/>
          <wp:docPr id="1584724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24644" name="Picture 1584724644"/>
                  <pic:cNvPicPr/>
                </pic:nvPicPr>
                <pic:blipFill>
                  <a:blip r:embed="rId1">
                    <a:extLst>
                      <a:ext uri="{28A0092B-C50C-407E-A947-70E740481C1C}">
                        <a14:useLocalDpi xmlns:a14="http://schemas.microsoft.com/office/drawing/2010/main" val="0"/>
                      </a:ext>
                    </a:extLst>
                  </a:blip>
                  <a:stretch>
                    <a:fillRect/>
                  </a:stretch>
                </pic:blipFill>
                <pic:spPr>
                  <a:xfrm>
                    <a:off x="0" y="0"/>
                    <a:ext cx="873329" cy="653182"/>
                  </a:xfrm>
                  <a:prstGeom prst="rect">
                    <a:avLst/>
                  </a:prstGeom>
                </pic:spPr>
              </pic:pic>
            </a:graphicData>
          </a:graphic>
        </wp:inline>
      </w:drawing>
    </w:r>
    <w:r w:rsidR="00B83A1B">
      <w:tab/>
    </w:r>
    <w:r w:rsidR="00B83A1B">
      <w:tab/>
    </w:r>
    <w:r>
      <w:t xml:space="preserve">DPOS-001 </w:t>
    </w:r>
    <w:r w:rsidR="00B83A1B">
      <w:t xml:space="preserve">Student Privacy Notice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556"/>
    <w:multiLevelType w:val="multilevel"/>
    <w:tmpl w:val="D92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73EE7"/>
    <w:multiLevelType w:val="multilevel"/>
    <w:tmpl w:val="B3F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17169"/>
    <w:multiLevelType w:val="multilevel"/>
    <w:tmpl w:val="349E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2193D"/>
    <w:multiLevelType w:val="multilevel"/>
    <w:tmpl w:val="DDC8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54F73"/>
    <w:multiLevelType w:val="multilevel"/>
    <w:tmpl w:val="8424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49859">
    <w:abstractNumId w:val="4"/>
  </w:num>
  <w:num w:numId="2" w16cid:durableId="217666610">
    <w:abstractNumId w:val="0"/>
  </w:num>
  <w:num w:numId="3" w16cid:durableId="470292500">
    <w:abstractNumId w:val="3"/>
  </w:num>
  <w:num w:numId="4" w16cid:durableId="1443114532">
    <w:abstractNumId w:val="2"/>
  </w:num>
  <w:num w:numId="5" w16cid:durableId="1180897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66"/>
    <w:rsid w:val="000B7BDF"/>
    <w:rsid w:val="00164DFB"/>
    <w:rsid w:val="001715C6"/>
    <w:rsid w:val="00202CA9"/>
    <w:rsid w:val="004F7D3A"/>
    <w:rsid w:val="00576297"/>
    <w:rsid w:val="006C18B7"/>
    <w:rsid w:val="00756266"/>
    <w:rsid w:val="008D50AD"/>
    <w:rsid w:val="00A24E36"/>
    <w:rsid w:val="00B83A1B"/>
    <w:rsid w:val="00D868F3"/>
    <w:rsid w:val="00DD0255"/>
    <w:rsid w:val="00DE4663"/>
    <w:rsid w:val="00DF0821"/>
    <w:rsid w:val="00E10EAC"/>
    <w:rsid w:val="00E15A3F"/>
    <w:rsid w:val="00E664E4"/>
    <w:rsid w:val="00FE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A1D2"/>
  <w15:chartTrackingRefBased/>
  <w15:docId w15:val="{94A90B72-12CD-43C4-B62D-6CDCC237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2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2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2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2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2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2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2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266"/>
    <w:rPr>
      <w:rFonts w:eastAsiaTheme="majorEastAsia" w:cstheme="majorBidi"/>
      <w:color w:val="272727" w:themeColor="text1" w:themeTint="D8"/>
    </w:rPr>
  </w:style>
  <w:style w:type="paragraph" w:styleId="Title">
    <w:name w:val="Title"/>
    <w:basedOn w:val="Normal"/>
    <w:next w:val="Normal"/>
    <w:link w:val="TitleChar"/>
    <w:uiPriority w:val="10"/>
    <w:qFormat/>
    <w:rsid w:val="00756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266"/>
    <w:pPr>
      <w:spacing w:before="160"/>
      <w:jc w:val="center"/>
    </w:pPr>
    <w:rPr>
      <w:i/>
      <w:iCs/>
      <w:color w:val="404040" w:themeColor="text1" w:themeTint="BF"/>
    </w:rPr>
  </w:style>
  <w:style w:type="character" w:customStyle="1" w:styleId="QuoteChar">
    <w:name w:val="Quote Char"/>
    <w:basedOn w:val="DefaultParagraphFont"/>
    <w:link w:val="Quote"/>
    <w:uiPriority w:val="29"/>
    <w:rsid w:val="00756266"/>
    <w:rPr>
      <w:i/>
      <w:iCs/>
      <w:color w:val="404040" w:themeColor="text1" w:themeTint="BF"/>
    </w:rPr>
  </w:style>
  <w:style w:type="paragraph" w:styleId="ListParagraph">
    <w:name w:val="List Paragraph"/>
    <w:basedOn w:val="Normal"/>
    <w:uiPriority w:val="34"/>
    <w:qFormat/>
    <w:rsid w:val="00756266"/>
    <w:pPr>
      <w:ind w:left="720"/>
      <w:contextualSpacing/>
    </w:pPr>
  </w:style>
  <w:style w:type="character" w:styleId="IntenseEmphasis">
    <w:name w:val="Intense Emphasis"/>
    <w:basedOn w:val="DefaultParagraphFont"/>
    <w:uiPriority w:val="21"/>
    <w:qFormat/>
    <w:rsid w:val="00756266"/>
    <w:rPr>
      <w:i/>
      <w:iCs/>
      <w:color w:val="2F5496" w:themeColor="accent1" w:themeShade="BF"/>
    </w:rPr>
  </w:style>
  <w:style w:type="paragraph" w:styleId="IntenseQuote">
    <w:name w:val="Intense Quote"/>
    <w:basedOn w:val="Normal"/>
    <w:next w:val="Normal"/>
    <w:link w:val="IntenseQuoteChar"/>
    <w:uiPriority w:val="30"/>
    <w:qFormat/>
    <w:rsid w:val="00756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266"/>
    <w:rPr>
      <w:i/>
      <w:iCs/>
      <w:color w:val="2F5496" w:themeColor="accent1" w:themeShade="BF"/>
    </w:rPr>
  </w:style>
  <w:style w:type="character" w:styleId="IntenseReference">
    <w:name w:val="Intense Reference"/>
    <w:basedOn w:val="DefaultParagraphFont"/>
    <w:uiPriority w:val="32"/>
    <w:qFormat/>
    <w:rsid w:val="00756266"/>
    <w:rPr>
      <w:b/>
      <w:bCs/>
      <w:smallCaps/>
      <w:color w:val="2F5496" w:themeColor="accent1" w:themeShade="BF"/>
      <w:spacing w:val="5"/>
    </w:rPr>
  </w:style>
  <w:style w:type="paragraph" w:styleId="Header">
    <w:name w:val="header"/>
    <w:basedOn w:val="Normal"/>
    <w:link w:val="HeaderChar"/>
    <w:uiPriority w:val="99"/>
    <w:unhideWhenUsed/>
    <w:rsid w:val="00756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266"/>
  </w:style>
  <w:style w:type="paragraph" w:styleId="Footer">
    <w:name w:val="footer"/>
    <w:basedOn w:val="Normal"/>
    <w:link w:val="FooterChar"/>
    <w:uiPriority w:val="99"/>
    <w:unhideWhenUsed/>
    <w:rsid w:val="00756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266"/>
  </w:style>
  <w:style w:type="character" w:styleId="Hyperlink">
    <w:name w:val="Hyperlink"/>
    <w:basedOn w:val="DefaultParagraphFont"/>
    <w:uiPriority w:val="99"/>
    <w:unhideWhenUsed/>
    <w:rsid w:val="00B83A1B"/>
    <w:rPr>
      <w:color w:val="0563C1" w:themeColor="hyperlink"/>
      <w:u w:val="single"/>
    </w:rPr>
  </w:style>
  <w:style w:type="character" w:styleId="UnresolvedMention">
    <w:name w:val="Unresolved Mention"/>
    <w:basedOn w:val="DefaultParagraphFont"/>
    <w:uiPriority w:val="99"/>
    <w:semiHidden/>
    <w:unhideWhenUsed/>
    <w:rsid w:val="00B83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governance@onyxstud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nyxstudents.com" TargetMode="External"/><Relationship Id="rId1" Type="http://schemas.openxmlformats.org/officeDocument/2006/relationships/hyperlink" Target="mailto:admin@onyxsup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4E50A2C8B1C4EB130B6D2429BC1EE" ma:contentTypeVersion="3" ma:contentTypeDescription="Create a new document." ma:contentTypeScope="" ma:versionID="5a8d8e1d113b54232eeac7e3b03b0fe8">
  <xsd:schema xmlns:xsd="http://www.w3.org/2001/XMLSchema" xmlns:xs="http://www.w3.org/2001/XMLSchema" xmlns:p="http://schemas.microsoft.com/office/2006/metadata/properties" xmlns:ns2="c7626998-bc70-4160-a14b-126180f788a1" targetNamespace="http://schemas.microsoft.com/office/2006/metadata/properties" ma:root="true" ma:fieldsID="6cef659f30fdb53cb90a47acf5bc322e" ns2:_="">
    <xsd:import namespace="c7626998-bc70-4160-a14b-126180f788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6998-bc70-4160-a14b-126180f78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24649-E398-4AC9-9B9A-E6FB012B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2BA391-3822-449C-B402-C43ACA9CE0F6}">
  <ds:schemaRefs>
    <ds:schemaRef ds:uri="http://schemas.microsoft.com/sharepoint/v3/contenttype/forms"/>
  </ds:schemaRefs>
</ds:datastoreItem>
</file>

<file path=customXml/itemProps3.xml><?xml version="1.0" encoding="utf-8"?>
<ds:datastoreItem xmlns:ds="http://schemas.openxmlformats.org/officeDocument/2006/customXml" ds:itemID="{0AB3FA48-BB14-4E65-BA45-14958F16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6998-bc70-4160-a14b-126180f78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4590</Characters>
  <Application>Microsoft Office Word</Application>
  <DocSecurity>0</DocSecurity>
  <Lines>306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Sargeant</dc:creator>
  <cp:keywords/>
  <dc:description/>
  <cp:lastModifiedBy>Angela Sargeant</cp:lastModifiedBy>
  <cp:revision>7</cp:revision>
  <dcterms:created xsi:type="dcterms:W3CDTF">2025-11-12T10:27:00Z</dcterms:created>
  <dcterms:modified xsi:type="dcterms:W3CDTF">2025-11-12T12:48:00Z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0x01010038A4E50A2C8B1C4EB130B6D2429BC1EE</vt:lpwstr>
  </property>
</Properties>
</file>